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62.png" ContentType="image/png"/>
  <Override PartName="/word/media/rId52.png" ContentType="image/png"/>
  <Override PartName="/word/media/rId57.png" ContentType="image/png"/>
  <Override PartName="/word/media/rId40.png" ContentType="image/png"/>
  <Override PartName="/word/media/rId31.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Durability</w:t>
      </w:r>
      <w:r>
        <w:t xml:space="preserve"> </w:t>
      </w:r>
      <w:r>
        <w:t xml:space="preserve">of</w:t>
      </w:r>
      <w:r>
        <w:t xml:space="preserve"> </w:t>
      </w:r>
      <w:r>
        <w:t xml:space="preserve">COVID-19</w:t>
      </w:r>
      <w:r>
        <w:t xml:space="preserve"> </w:t>
      </w:r>
      <w:r>
        <w:t xml:space="preserve">vaccine</w:t>
      </w:r>
      <w:r>
        <w:t xml:space="preserve"> </w:t>
      </w:r>
      <w:r>
        <w:t xml:space="preserve">and</w:t>
      </w:r>
      <w:r>
        <w:t xml:space="preserve"> </w:t>
      </w:r>
      <w:r>
        <w:t xml:space="preserve">infection</w:t>
      </w:r>
      <w:r>
        <w:t xml:space="preserve"> </w:t>
      </w:r>
      <w:r>
        <w:t xml:space="preserve">induced</w:t>
      </w:r>
      <w:r>
        <w:t xml:space="preserve"> </w:t>
      </w:r>
      <w:r>
        <w:t xml:space="preserve">immunity:</w:t>
      </w:r>
      <w:r>
        <w:t xml:space="preserve"> </w:t>
      </w:r>
      <w:r>
        <w:t xml:space="preserve">a</w:t>
      </w:r>
      <w:r>
        <w:t xml:space="preserve"> </w:t>
      </w:r>
      <w:r>
        <w:t xml:space="preserve">systematic</w:t>
      </w:r>
      <w:r>
        <w:t xml:space="preserve"> </w:t>
      </w:r>
      <w:r>
        <w:t xml:space="preserve">review</w:t>
      </w:r>
      <w:r>
        <w:t xml:space="preserve"> </w:t>
      </w:r>
      <w:r>
        <w:t xml:space="preserve">and</w:t>
      </w:r>
      <w:r>
        <w:t xml:space="preserve"> </w:t>
      </w:r>
      <w:r>
        <w:t xml:space="preserve">meta-regression</w:t>
      </w:r>
      <w:r>
        <w:t xml:space="preserve"> </w:t>
      </w:r>
      <w:r>
        <w:t xml:space="preserve">analysis</w:t>
      </w:r>
    </w:p>
    <w:p>
      <w:pPr>
        <w:pStyle w:val="Author"/>
      </w:pPr>
      <w:r>
        <w:t xml:space="preserve">Mia</w:t>
      </w:r>
      <w:r>
        <w:t xml:space="preserve"> </w:t>
      </w:r>
      <w:r>
        <w:t xml:space="preserve">Moore,</w:t>
      </w:r>
      <w:r>
        <w:t xml:space="preserve"> </w:t>
      </w:r>
      <w:r>
        <w:t xml:space="preserve">Larissa</w:t>
      </w:r>
      <w:r>
        <w:t xml:space="preserve"> </w:t>
      </w:r>
      <w:r>
        <w:t xml:space="preserve">Anderson,</w:t>
      </w:r>
      <w:r>
        <w:t xml:space="preserve"> </w:t>
      </w:r>
      <w:r>
        <w:t xml:space="preserve">Joshua</w:t>
      </w:r>
      <w:r>
        <w:t xml:space="preserve"> </w:t>
      </w:r>
      <w:r>
        <w:t xml:space="preserve">T.</w:t>
      </w:r>
      <w:r>
        <w:t xml:space="preserve"> </w:t>
      </w:r>
      <w:r>
        <w:t xml:space="preserve">Schiffer,</w:t>
      </w:r>
      <w:r>
        <w:t xml:space="preserve"> </w:t>
      </w:r>
      <w:r>
        <w:t xml:space="preserve">Laura</w:t>
      </w:r>
      <w:r>
        <w:t xml:space="preserve"> </w:t>
      </w:r>
      <w:r>
        <w:t xml:space="preserve">Matrajt,</w:t>
      </w:r>
      <w:r>
        <w:t xml:space="preserve"> </w:t>
      </w:r>
      <w:r>
        <w:t xml:space="preserve">Dobromir</w:t>
      </w:r>
      <w:r>
        <w:t xml:space="preserve"> </w:t>
      </w:r>
      <w:r>
        <w:t xml:space="preserve">Dimitrov</w:t>
      </w:r>
    </w:p>
    <w:p>
      <w:pPr>
        <w:pStyle w:val="Date"/>
      </w:pPr>
      <w:r>
        <w:t xml:space="preserve">2024-05-31</w:t>
      </w:r>
    </w:p>
    <w:bookmarkStart w:id="25" w:name="summary"/>
    <w:p>
      <w:pPr>
        <w:pStyle w:val="Heading1"/>
      </w:pPr>
      <w:r>
        <w:t xml:space="preserve">Summary</w:t>
      </w:r>
    </w:p>
    <w:bookmarkStart w:id="20" w:name="background"/>
    <w:p>
      <w:pPr>
        <w:pStyle w:val="Heading2"/>
      </w:pPr>
      <w:r>
        <w:t xml:space="preserve">Background</w:t>
      </w:r>
    </w:p>
    <w:p>
      <w:pPr>
        <w:pStyle w:val="FirstParagraph"/>
      </w:pPr>
      <w:r>
        <w:t xml:space="preserve">Despite the successful development and rollout of mRNA vaccines, COVID-19 remains a significant public health threat. Waning of immune memory over time as well as the emergence of new strains can degrade population-level protection and contribute to ongoing morbidity.</w:t>
      </w:r>
    </w:p>
    <w:bookmarkEnd w:id="20"/>
    <w:bookmarkStart w:id="21" w:name="methods"/>
    <w:p>
      <w:pPr>
        <w:pStyle w:val="Heading2"/>
      </w:pPr>
      <w:r>
        <w:t xml:space="preserve">Methods</w:t>
      </w:r>
    </w:p>
    <w:p>
      <w:pPr>
        <w:pStyle w:val="FirstParagraph"/>
      </w:pPr>
      <w:r>
        <w:t xml:space="preserve">In this systematic review and meta-regression, we searched for studies in PubMed, medRxiv and bioRxiv published January 1, 2020 – January 1, 2023 measuring reduction in infection, symptomatic disease, and severe disease conferred by mRNA-based vaccination and prior SARS-CoV-2 infections relative to naïve individuals. We excluded studies that did not distinguish between mRNA and non-mRNA vaccines or had less than 1000 participants. Using a multi-level model, we quantified the strength and durability of each form of protection by time since vaccination or infection.</w:t>
      </w:r>
    </w:p>
    <w:bookmarkEnd w:id="21"/>
    <w:bookmarkStart w:id="22" w:name="findings"/>
    <w:p>
      <w:pPr>
        <w:pStyle w:val="Heading2"/>
      </w:pPr>
      <w:r>
        <w:t xml:space="preserve">Findings</w:t>
      </w:r>
    </w:p>
    <w:p>
      <w:pPr>
        <w:pStyle w:val="FirstParagraph"/>
      </w:pPr>
      <w:r>
        <w:t xml:space="preserve">We included 123 studies in our analysis. Vaccine-induced immunity against infection and disease declined both over time and with the emergence of Omicron, regardless of booster doses, though protection against severe outcomes was more durable. Booster doses reduced severe Omicron infections by 90.0% (95% confidence interval 86.2 - 93.8) and 73.4% (64.4 - 82.4) at two and 30 weeks post-vaccination, respectively. We found that hybrid immunity was more durable than immunity from either vaccination or prior infection alone, but that protection against Omicron reinfection was only 36.2% (17.0 - 55.3) at 30 weeks following vaccination. Individuals with hybrid immunity had 83.4% protection (71.5 – 95.2) following booster doses declining to 48.3% (-21.5 – 100.0) after 30 weeks.</w:t>
      </w:r>
    </w:p>
    <w:bookmarkEnd w:id="22"/>
    <w:bookmarkStart w:id="23" w:name="interpretation"/>
    <w:p>
      <w:pPr>
        <w:pStyle w:val="Heading2"/>
      </w:pPr>
      <w:r>
        <w:t xml:space="preserve">Interpretation</w:t>
      </w:r>
    </w:p>
    <w:p>
      <w:pPr>
        <w:pStyle w:val="FirstParagraph"/>
      </w:pPr>
      <w:r>
        <w:t xml:space="preserve">Our results suggest that timely deployment of pre-existing boosters can greatly mitigate seasonal COVID outbreaks even in populations with prior infection and vaccination.</w:t>
      </w:r>
    </w:p>
    <w:bookmarkEnd w:id="23"/>
    <w:bookmarkStart w:id="24" w:name="funding"/>
    <w:p>
      <w:pPr>
        <w:pStyle w:val="Heading2"/>
      </w:pPr>
      <w:r>
        <w:t xml:space="preserve">Funding</w:t>
      </w:r>
    </w:p>
    <w:p>
      <w:pPr>
        <w:pStyle w:val="FirstParagraph"/>
      </w:pPr>
      <w:r>
        <w:t xml:space="preserve">Centers for Disease Control and Prevention (NU38OT000297-03)</w:t>
      </w:r>
      <w:r>
        <w:t xml:space="preserve"> </w:t>
      </w:r>
    </w:p>
    <w:bookmarkEnd w:id="24"/>
    <w:bookmarkEnd w:id="25"/>
    <w:bookmarkStart w:id="29" w:name="research-in-context"/>
    <w:p>
      <w:pPr>
        <w:pStyle w:val="Heading1"/>
      </w:pPr>
      <w:r>
        <w:t xml:space="preserve">Research in Context</w:t>
      </w:r>
    </w:p>
    <w:bookmarkStart w:id="26" w:name="evidence-before-this-study"/>
    <w:p>
      <w:pPr>
        <w:pStyle w:val="Heading2"/>
      </w:pPr>
      <w:r>
        <w:t xml:space="preserve">Evidence before this study</w:t>
      </w:r>
    </w:p>
    <w:p>
      <w:pPr>
        <w:pStyle w:val="FirstParagraph"/>
      </w:pPr>
      <w:r>
        <w:t xml:space="preserve">We searched google scholar with the key words</w:t>
      </w:r>
      <w:r>
        <w:t xml:space="preserve"> </w:t>
      </w:r>
      <w:r>
        <w:t xml:space="preserve">“</w:t>
      </w:r>
      <w:r>
        <w:t xml:space="preserve">waning</w:t>
      </w:r>
      <w:r>
        <w:t xml:space="preserve">”</w:t>
      </w:r>
      <w:r>
        <w:t xml:space="preserve">,</w:t>
      </w:r>
      <w:r>
        <w:t xml:space="preserve"> </w:t>
      </w:r>
      <w:r>
        <w:t xml:space="preserve">“</w:t>
      </w:r>
      <w:r>
        <w:t xml:space="preserve">efficacy</w:t>
      </w:r>
      <w:r>
        <w:t xml:space="preserve">”</w:t>
      </w:r>
      <w:r>
        <w:t xml:space="preserve">,</w:t>
      </w:r>
      <w:r>
        <w:t xml:space="preserve"> </w:t>
      </w:r>
      <w:r>
        <w:t xml:space="preserve">“</w:t>
      </w:r>
      <w:r>
        <w:t xml:space="preserve">covid</w:t>
      </w:r>
      <w:r>
        <w:t xml:space="preserve">”</w:t>
      </w:r>
      <w:r>
        <w:t xml:space="preserve">, and</w:t>
      </w:r>
      <w:r>
        <w:t xml:space="preserve"> </w:t>
      </w:r>
      <w:r>
        <w:t xml:space="preserve">“</w:t>
      </w:r>
      <w:r>
        <w:t xml:space="preserve">systematic review</w:t>
      </w:r>
      <w:r>
        <w:t xml:space="preserve">”</w:t>
      </w:r>
      <w:r>
        <w:t xml:space="preserve">. Previous systematic reviews have found that primary vaccination, booster doses and prior infection provide protection against SARS-CoV-2 infection</w:t>
      </w:r>
      <w:r>
        <w:t xml:space="preserve"> </w:t>
      </w:r>
      <w:r>
        <w:t xml:space="preserve">and COVID-19 disease. They also found that this protection wanes over time, but that</w:t>
      </w:r>
      <w:r>
        <w:t xml:space="preserve"> </w:t>
      </w:r>
      <w:r>
        <w:t xml:space="preserve">protection against severe infection is more durable. Finally they found that vaccine-induced immunity was markedly lower against Omicron variants than Pre-Omicron variants.</w:t>
      </w:r>
    </w:p>
    <w:bookmarkEnd w:id="26"/>
    <w:bookmarkStart w:id="27" w:name="added-value-of-this-study"/>
    <w:p>
      <w:pPr>
        <w:pStyle w:val="Heading2"/>
      </w:pPr>
      <w:r>
        <w:t xml:space="preserve">Added value of this study</w:t>
      </w:r>
    </w:p>
    <w:p>
      <w:pPr>
        <w:pStyle w:val="FirstParagraph"/>
      </w:pPr>
      <w:r>
        <w:t xml:space="preserve">Our analysis extends those of previous meta-analyses due to the inclusion of studies up to January 1st, 2023, and a comprehensive approach to analysing the impact of prior infection with either pre-Omicron or Omicron strain on the durability of vaccine-induced immunity.</w:t>
      </w:r>
      <w:r>
        <w:t xml:space="preserve"> </w:t>
      </w:r>
      <w:r>
        <w:t xml:space="preserve">We find that 1) booster doses alone improve the strength but not the durability of immunity to Omicron variants, but that 2) prior infection increased the durability of vaccine-induced and booster-induced immunity over time to Omicron variants.</w:t>
      </w:r>
    </w:p>
    <w:bookmarkEnd w:id="27"/>
    <w:bookmarkStart w:id="28" w:name="implications-of-all-available-evidence"/>
    <w:p>
      <w:pPr>
        <w:pStyle w:val="Heading2"/>
      </w:pPr>
      <w:r>
        <w:t xml:space="preserve">Implications of all available evidence</w:t>
      </w:r>
    </w:p>
    <w:p>
      <w:pPr>
        <w:pStyle w:val="FirstParagraph"/>
      </w:pPr>
      <w:r>
        <w:t xml:space="preserve">Although mRNA-based vaccines provide strong initial protection against pre-Omicron variants, this protection gradually wanes gradually over time and dropped sharply with the emergence of the Omicron strain. The durability of this protection is improved by additional doses and prior infections, although it continues to wane. Therefore, regular boosting can not only mitigate annual COVID-19 waves but also reduce the danger imposed by a new strain with similar escape characteristics to Omicron.</w:t>
      </w:r>
    </w:p>
    <w:bookmarkEnd w:id="28"/>
    <w:bookmarkEnd w:id="29"/>
    <w:bookmarkStart w:id="69" w:name="main-text"/>
    <w:p>
      <w:pPr>
        <w:pStyle w:val="Heading1"/>
      </w:pPr>
      <w:r>
        <w:t xml:space="preserve">Main Text</w:t>
      </w:r>
    </w:p>
    <w:bookmarkStart w:id="30" w:name="introduction"/>
    <w:p>
      <w:pPr>
        <w:pStyle w:val="Heading2"/>
      </w:pPr>
      <w:r>
        <w:t xml:space="preserve">Introduction</w:t>
      </w:r>
    </w:p>
    <w:p>
      <w:pPr>
        <w:pStyle w:val="FirstParagraph"/>
      </w:pPr>
      <w:r>
        <w:t xml:space="preserve">Following the approval of the first COVID-19 mRNA vaccines in late 2020, an unprecedented vaccination campaign took place worldwide. In the US, 82.5% of the adult population had received at least one dose by January 2024 though uptake varied by region.</w:t>
      </w:r>
      <w:r>
        <w:rPr>
          <w:vertAlign w:val="superscript"/>
        </w:rPr>
        <w:t xml:space="preserve">1</w:t>
      </w:r>
      <w:r>
        <w:t xml:space="preserve"> </w:t>
      </w:r>
      <w:r>
        <w:t xml:space="preserve">The mRNA vaccines used in the majority of these vaccinations proved to be highly efficacacious against infection and disease caused by ancestral strains and subsequently emerging variants of concern such as Alpha, Beta, Gamma, and Delta.</w:t>
      </w:r>
      <w:r>
        <w:rPr>
          <w:vertAlign w:val="superscript"/>
        </w:rPr>
        <w:t xml:space="preserve">2,3</w:t>
      </w:r>
      <w:r>
        <w:t xml:space="preserve"> </w:t>
      </w:r>
      <w:r>
        <w:t xml:space="preserve">However, the emergence of the Omicron strain and its subvariants in late 2021 demonstrated that vaccine-induced immunity wanes over time and is not always robust to strain replacement.</w:t>
      </w:r>
      <w:r>
        <w:rPr>
          <w:vertAlign w:val="superscript"/>
        </w:rPr>
        <w:t xml:space="preserve">4–10</w:t>
      </w:r>
      <w:r>
        <w:t xml:space="preserve"> </w:t>
      </w:r>
      <w:r>
        <w:t xml:space="preserve">Moreover, uptake of booster doses has been much lower than primary vaccination with only 20.9% of US adults receiving a booster dose between September 14, 2023 and January 2024.</w:t>
      </w:r>
      <w:r>
        <w:rPr>
          <w:vertAlign w:val="superscript"/>
        </w:rPr>
        <w:t xml:space="preserve">1</w:t>
      </w:r>
    </w:p>
    <w:p>
      <w:pPr>
        <w:pStyle w:val="BodyText"/>
      </w:pPr>
      <w:r>
        <w:t xml:space="preserve">Projecting ongoing morbidity and mortality due to SARS-CoV-2 requires reliable time-varying estimates of reductions in susceptibility to infection, symptomatic disease, and severe disease following vaccination or infection.</w:t>
      </w:r>
      <w:r>
        <w:rPr>
          <w:vertAlign w:val="superscript"/>
        </w:rPr>
        <w:t xml:space="preserve">11,12</w:t>
      </w:r>
      <w:r>
        <w:t xml:space="preserve"> </w:t>
      </w:r>
      <w:r>
        <w:t xml:space="preserve">Mathematical modeling has demonstrated that the interplay between different types of immunity may strongly impact population-level reduction of SARS CoV-2 transmission due to vaccination programs even when the overall reduction of symptomatic infections is roughly the same.</w:t>
      </w:r>
      <w:r>
        <w:rPr>
          <w:vertAlign w:val="superscript"/>
        </w:rPr>
        <w:t xml:space="preserve">13</w:t>
      </w:r>
      <w:r>
        <w:t xml:space="preserve"> </w:t>
      </w:r>
      <w:r>
        <w:t xml:space="preserve">In this study we consider immunity against three different outcomes:</w:t>
      </w:r>
    </w:p>
    <w:p>
      <w:pPr>
        <w:numPr>
          <w:ilvl w:val="0"/>
          <w:numId w:val="1001"/>
        </w:numPr>
        <w:pStyle w:val="Compact"/>
      </w:pPr>
      <m:oMath>
        <m:sSub>
          <m:e>
            <m:r>
              <m:t>E</m:t>
            </m:r>
          </m:e>
          <m:sub>
            <m:r>
              <m:t>S</m:t>
            </m:r>
          </m:sub>
        </m:sSub>
      </m:oMath>
      <w:r>
        <w:t xml:space="preserve">: The percent reduction in the rate of newly acquired SARS-CoV-2 infections among individuals with vaccine-induced and/or infection-induced immunity relative to those with no pre-existing immunity (the naive population).</w:t>
      </w:r>
    </w:p>
    <w:p>
      <w:pPr>
        <w:numPr>
          <w:ilvl w:val="0"/>
          <w:numId w:val="1001"/>
        </w:numPr>
        <w:pStyle w:val="Compact"/>
      </w:pPr>
      <m:oMath>
        <m:sSub>
          <m:e>
            <m:r>
              <m:t>E</m:t>
            </m:r>
          </m:e>
          <m:sub>
            <m:r>
              <m:t>D</m:t>
            </m:r>
          </m:sub>
        </m:sSub>
      </m:oMath>
      <w:r>
        <w:t xml:space="preserve">: The percent reduction in the rate of symptomatic COVID-19 disease among individuals with vaccine-induced and/or infection-induced immunity relative to the naive population.</w:t>
      </w:r>
    </w:p>
    <w:p>
      <w:pPr>
        <w:numPr>
          <w:ilvl w:val="0"/>
          <w:numId w:val="1001"/>
        </w:numPr>
        <w:pStyle w:val="Compact"/>
      </w:pPr>
      <m:oMath>
        <m:sSub>
          <m:e>
            <m:r>
              <m:t>E</m:t>
            </m:r>
          </m:e>
          <m:sub>
            <m:r>
              <m:t>M</m:t>
            </m:r>
          </m:sub>
        </m:sSub>
      </m:oMath>
      <w:r>
        <w:t xml:space="preserve">: The percent reduction in the rate of severe COVID-19 disease among individuals with vaccine-induced and/or infection-induced relative to the naive population.</w:t>
      </w:r>
    </w:p>
    <w:p>
      <w:pPr>
        <w:pStyle w:val="FirstParagraph"/>
      </w:pPr>
      <w:r>
        <w:t xml:space="preserve">Previous meta-analyses have found that all three forms of immunity are 1) augmented by vaccination, including booster vaccines, as well as prior infection, and 2) wane over time with reduction of the risk of hospitalization or severe disease (</w:t>
      </w:r>
      <m:oMath>
        <m:sSub>
          <m:e>
            <m:r>
              <m:t>E</m:t>
            </m:r>
          </m:e>
          <m:sub>
            <m:r>
              <m:t>M</m:t>
            </m:r>
          </m:sub>
        </m:sSub>
      </m:oMath>
      <w:r>
        <w:t xml:space="preserve">) being the most durable, but that 3) vaccine-induced immunity was markedly lower against Omicron variants than pre-Omicron variants.</w:t>
      </w:r>
      <w:r>
        <w:rPr>
          <w:vertAlign w:val="superscript"/>
        </w:rPr>
        <w:t xml:space="preserve">4,9,10,14–16</w:t>
      </w:r>
    </w:p>
    <w:p>
      <w:pPr>
        <w:pStyle w:val="BodyText"/>
      </w:pPr>
      <w:r>
        <w:t xml:space="preserve">In this meta-analysis, we aim to update the current knowledge of naturally-acquired, mRNA vaccine-induced, and hybrid immunity, by including studies through January 2023. Using a multi-level meta-regression approach, we investigate the impact of infecting strain, vaccination status, prior infection, and time since immune conferring event on</w:t>
      </w:r>
      <w:r>
        <w:t xml:space="preserve"> </w:t>
      </w:r>
      <m:oMath>
        <m:sSub>
          <m:e>
            <m:r>
              <m:t>E</m:t>
            </m:r>
          </m:e>
          <m:sub>
            <m:r>
              <m:t>S</m:t>
            </m:r>
          </m:sub>
        </m:sSub>
      </m:oMath>
      <w:r>
        <w:t xml:space="preserve">,</w:t>
      </w:r>
      <w:r>
        <w:t xml:space="preserve"> </w:t>
      </w:r>
      <m:oMath>
        <m:sSub>
          <m:e>
            <m:r>
              <m:t>E</m:t>
            </m:r>
          </m:e>
          <m:sub>
            <m:r>
              <m:t>D</m:t>
            </m:r>
          </m:sub>
        </m:sSub>
      </m:oMath>
      <w:r>
        <w:t xml:space="preserve"> </w:t>
      </w:r>
      <w:r>
        <w:t xml:space="preserve">and</w:t>
      </w:r>
      <w:r>
        <w:t xml:space="preserve"> </w:t>
      </w:r>
      <m:oMath>
        <m:sSub>
          <m:e>
            <m:r>
              <m:t>E</m:t>
            </m:r>
          </m:e>
          <m:sub>
            <m:r>
              <m:t>M</m:t>
            </m:r>
          </m:sub>
        </m:sSub>
      </m:oMath>
      <w:r>
        <w:t xml:space="preserve">. In addition to reproducing the findings from previous meta-analyses with an expanded data set, we also analyze 1) the relative-durability of vaccine-induced, booster-induced, naturally acquired, and hybrid immunity and 2) the impact of prior infection on booster-dose efficacy.</w:t>
      </w:r>
    </w:p>
    <w:bookmarkEnd w:id="30"/>
    <w:bookmarkStart w:id="39" w:name="methods-1"/>
    <w:p>
      <w:pPr>
        <w:pStyle w:val="Heading2"/>
      </w:pPr>
      <w:r>
        <w:t xml:space="preserve">Methods</w:t>
      </w:r>
    </w:p>
    <w:bookmarkStart w:id="36" w:name="search-and-inclusion-criteria"/>
    <w:p>
      <w:pPr>
        <w:pStyle w:val="Heading3"/>
      </w:pPr>
      <w:r>
        <w:t xml:space="preserve">Search and Inclusion Criteria</w:t>
      </w:r>
    </w:p>
    <w:p>
      <w:pPr>
        <w:pStyle w:val="FirstParagraph"/>
      </w:pPr>
      <w:r>
        <w:t xml:space="preserve">We conducted a literature search in PubMed, medRxiv and bioRxiv for manuscripts published or posted January 1, 2020 - January 1, 2023 using the search query (</w:t>
      </w:r>
      <w:r>
        <w:t xml:space="preserve">“</w:t>
      </w:r>
      <w:r>
        <w:t xml:space="preserve">SARS–CoV-2</w:t>
      </w:r>
      <w:r>
        <w:t xml:space="preserve">”</w:t>
      </w:r>
      <w:r>
        <w:t xml:space="preserve"> </w:t>
      </w:r>
      <w:r>
        <w:t xml:space="preserve">or</w:t>
      </w:r>
      <w:r>
        <w:t xml:space="preserve"> </w:t>
      </w:r>
      <w:r>
        <w:t xml:space="preserve">“</w:t>
      </w:r>
      <w:r>
        <w:t xml:space="preserve">COVID-19</w:t>
      </w:r>
      <w:r>
        <w:t xml:space="preserve">”</w:t>
      </w:r>
      <w:r>
        <w:t xml:space="preserve">) AND (</w:t>
      </w:r>
      <w:r>
        <w:t xml:space="preserve">“</w:t>
      </w:r>
      <w:r>
        <w:t xml:space="preserve">BNT162b2</w:t>
      </w:r>
      <w:r>
        <w:t xml:space="preserve">”</w:t>
      </w:r>
      <w:r>
        <w:t xml:space="preserve"> </w:t>
      </w:r>
      <w:r>
        <w:t xml:space="preserve">or</w:t>
      </w:r>
      <w:r>
        <w:t xml:space="preserve"> </w:t>
      </w:r>
      <w:r>
        <w:t xml:space="preserve">“</w:t>
      </w:r>
      <w:r>
        <w:t xml:space="preserve">mRNA-1273</w:t>
      </w:r>
      <w:r>
        <w:t xml:space="preserve">”</w:t>
      </w:r>
      <w:r>
        <w:t xml:space="preserve">) AND (</w:t>
      </w:r>
      <w:r>
        <w:t xml:space="preserve">“</w:t>
      </w:r>
      <w:r>
        <w:t xml:space="preserve">vaccine efficacy</w:t>
      </w:r>
      <w:r>
        <w:t xml:space="preserve">”</w:t>
      </w:r>
      <w:r>
        <w:t xml:space="preserve"> </w:t>
      </w:r>
      <w:r>
        <w:t xml:space="preserve">OR</w:t>
      </w:r>
      <w:r>
        <w:t xml:space="preserve"> </w:t>
      </w:r>
      <w:r>
        <w:t xml:space="preserve">“</w:t>
      </w:r>
      <w:r>
        <w:t xml:space="preserve">vaccine effectiveness</w:t>
      </w:r>
      <w:r>
        <w:t xml:space="preserve">”</w:t>
      </w:r>
      <w:r>
        <w:t xml:space="preserve">) AND (</w:t>
      </w:r>
      <w:r>
        <w:t xml:space="preserve">“</w:t>
      </w:r>
      <w:r>
        <w:t xml:space="preserve">waning</w:t>
      </w:r>
      <w:r>
        <w:t xml:space="preserve">”</w:t>
      </w:r>
      <w:r>
        <w:t xml:space="preserve"> </w:t>
      </w:r>
      <w:r>
        <w:t xml:space="preserve">or</w:t>
      </w:r>
      <w:r>
        <w:t xml:space="preserve"> </w:t>
      </w:r>
      <w:r>
        <w:t xml:space="preserve">“</w:t>
      </w:r>
      <w:r>
        <w:t xml:space="preserve">wane</w:t>
      </w:r>
      <w:r>
        <w:t xml:space="preserve">”</w:t>
      </w:r>
      <w:r>
        <w:t xml:space="preserve">). Manuscripts were screened for estimates of at least one of</w:t>
      </w:r>
      <w:r>
        <w:t xml:space="preserve"> </w:t>
      </w:r>
      <m:oMath>
        <m:sSub>
          <m:e>
            <m:r>
              <m:t>E</m:t>
            </m:r>
          </m:e>
          <m:sub>
            <m:r>
              <m:t>S</m:t>
            </m:r>
          </m:sub>
        </m:sSub>
      </m:oMath>
      <w:r>
        <w:t xml:space="preserve">,</w:t>
      </w:r>
      <w:r>
        <w:t xml:space="preserve"> </w:t>
      </w:r>
      <m:oMath>
        <m:sSub>
          <m:e>
            <m:r>
              <m:t>E</m:t>
            </m:r>
          </m:e>
          <m:sub>
            <m:r>
              <m:t>D</m:t>
            </m:r>
          </m:sub>
        </m:sSub>
      </m:oMath>
      <w:r>
        <w:t xml:space="preserve">, or</w:t>
      </w:r>
      <w:r>
        <w:t xml:space="preserve"> </w:t>
      </w:r>
      <m:oMath>
        <m:sSub>
          <m:e>
            <m:r>
              <m:t>E</m:t>
            </m:r>
          </m:e>
          <m:sub>
            <m:r>
              <m:t>M</m:t>
            </m:r>
          </m:sub>
        </m:sSub>
      </m:oMath>
      <w:r>
        <w:t xml:space="preserve">. We excluded studies which pooled mRNA vaccination with other types of vaccination or had a study population of less 1000 individuals. When available, we replaced pre-prints with subsequently peer-reviewed studies published prior to January 1, 2024. Reviews and modeling-only studies were also excluded from our analysis. Of the 828 studies reviewed, 123 matched the criteria and were included in the final analysis (Figure</w:t>
      </w:r>
      <w:r>
        <w:t xml:space="preserve"> </w:t>
      </w:r>
      <w:r>
        <w:t xml:space="preserve">1</w:t>
      </w:r>
      <w:r>
        <w:t xml:space="preserve">A and see Supplementary Table S1 for reasons for exclusion).</w:t>
      </w:r>
    </w:p>
    <w:p>
      <w:pPr>
        <w:pStyle w:val="BodyText"/>
      </w:pPr>
      <w:r>
        <w:t xml:space="preserve">Two authors (MM and LA) independently extracted point estimates and accompanying 95% CI for vaccine effectiveness for each time point at or after complete coverage was reached; generally defined as two weeks post second mRNA vaccine dose or one week post booster mRNA vaccine dose. For each outcome, we only recorded estimates with the narrowest available non-overlapping ranges for time since immune conferring event. Hazard ratios (</w:t>
      </w:r>
      <m:oMath>
        <m:r>
          <m:t>E</m:t>
        </m:r>
      </m:oMath>
      <w:r>
        <w:t xml:space="preserve"> </w:t>
      </w:r>
      <w:r>
        <w:t xml:space="preserve">= 1 - HR) and odds ratio (</w:t>
      </w:r>
      <m:oMath>
        <m:r>
          <m:t>E</m:t>
        </m:r>
      </m:oMath>
      <w:r>
        <w:t xml:space="preserve"> </w:t>
      </w:r>
      <w:r>
        <w:t xml:space="preserve">= 1 - OR) were converted to efficacies. From the 123 studies we recorded 1895 distinct estimates of</w:t>
      </w:r>
      <w:r>
        <w:t xml:space="preserve"> </w:t>
      </w:r>
      <m:oMath>
        <m:sSub>
          <m:e>
            <m:r>
              <m:t>E</m:t>
            </m:r>
          </m:e>
          <m:sub>
            <m:r>
              <m:t>S</m:t>
            </m:r>
          </m:sub>
        </m:sSub>
      </m:oMath>
      <w:r>
        <w:t xml:space="preserve">,</w:t>
      </w:r>
      <w:r>
        <w:t xml:space="preserve"> </w:t>
      </w:r>
      <m:oMath>
        <m:sSub>
          <m:e>
            <m:r>
              <m:t>E</m:t>
            </m:r>
          </m:e>
          <m:sub>
            <m:r>
              <m:t>D</m:t>
            </m:r>
          </m:sub>
        </m:sSub>
      </m:oMath>
      <w:r>
        <w:t xml:space="preserve">, and</w:t>
      </w:r>
      <w:r>
        <w:t xml:space="preserve"> </w:t>
      </w:r>
      <m:oMath>
        <m:sSub>
          <m:e>
            <m:r>
              <m:t>E</m:t>
            </m:r>
          </m:e>
          <m:sub>
            <m:r>
              <m:t>M</m:t>
            </m:r>
          </m:sub>
        </m:sSub>
      </m:oMath>
      <w:r>
        <w:t xml:space="preserve">, of which 1756 were used for analysis (Figure</w:t>
      </w:r>
      <w:r>
        <w:t xml:space="preserve"> </w:t>
      </w:r>
      <w:r>
        <w:t xml:space="preserve">1</w:t>
      </w:r>
      <w:r>
        <w:t xml:space="preserve">B, Supplementary Tables S1 and S2). These estimates are displayed graphically using ggplot and included in Supplementary Table S2. We categorized each estimate according to vaccination status of the participants, the infecting strain, the timing of any prior infection, and the minimum time since the immune conferring event.</w:t>
      </w:r>
      <w:r>
        <w:t xml:space="preserve"> </w:t>
      </w:r>
      <w:r>
        <w:t xml:space="preserve">Vaccination status was defined as either 1)</w:t>
      </w:r>
      <w:r>
        <w:t xml:space="preserve"> </w:t>
      </w:r>
      <w:r>
        <w:t xml:space="preserve">“</w:t>
      </w:r>
      <w:r>
        <w:t xml:space="preserve">None</w:t>
      </w:r>
      <w:r>
        <w:t xml:space="preserve">”</w:t>
      </w:r>
      <w:r>
        <w:t xml:space="preserve"> </w:t>
      </w:r>
      <w:r>
        <w:t xml:space="preserve">or unvaccinated, 2)</w:t>
      </w:r>
      <w:r>
        <w:t xml:space="preserve"> </w:t>
      </w:r>
      <w:r>
        <w:t xml:space="preserve">“</w:t>
      </w:r>
      <w:r>
        <w:t xml:space="preserve">Primary</w:t>
      </w:r>
      <w:r>
        <w:t xml:space="preserve">”</w:t>
      </w:r>
      <w:r>
        <w:t xml:space="preserve"> </w:t>
      </w:r>
      <w:r>
        <w:t xml:space="preserve">vaccination corresponding to having exactly 2 doses of the mRNA vaccines BNT162b2 or mRNA-1273, or 3)</w:t>
      </w:r>
      <w:r>
        <w:t xml:space="preserve"> </w:t>
      </w:r>
      <w:r>
        <w:t xml:space="preserve">“</w:t>
      </w:r>
      <w:r>
        <w:t xml:space="preserve">Boosted</w:t>
      </w:r>
      <w:r>
        <w:t xml:space="preserve">”</w:t>
      </w:r>
      <w:r>
        <w:t xml:space="preserve"> </w:t>
      </w:r>
      <w:r>
        <w:t xml:space="preserve">with 3+ doses of an mRNA vaccine) (Table</w:t>
      </w:r>
      <w:r>
        <w:t xml:space="preserve"> </w:t>
      </w:r>
      <w:r>
        <w:t xml:space="preserve">1</w:t>
      </w:r>
      <w:r>
        <w:t xml:space="preserve">).</w:t>
      </w:r>
      <w:r>
        <w:t xml:space="preserve"> </w:t>
      </w:r>
      <w:r>
        <w:t xml:space="preserve">We dichotomized infecting strains into either</w:t>
      </w:r>
      <w:r>
        <w:t xml:space="preserve"> </w:t>
      </w:r>
      <w:r>
        <w:t xml:space="preserve">“</w:t>
      </w:r>
      <w:r>
        <w:t xml:space="preserve">Pre-Omicron</w:t>
      </w:r>
      <w:r>
        <w:t xml:space="preserve">”</w:t>
      </w:r>
      <w:r>
        <w:t xml:space="preserve"> </w:t>
      </w:r>
      <w:r>
        <w:t xml:space="preserve">comprising ancestral, Alpha, Beta, and Delta strains or</w:t>
      </w:r>
      <w:r>
        <w:t xml:space="preserve"> </w:t>
      </w:r>
      <w:r>
        <w:t xml:space="preserve">“</w:t>
      </w:r>
      <w:r>
        <w:t xml:space="preserve">Omicron</w:t>
      </w:r>
      <w:r>
        <w:t xml:space="preserve">”</w:t>
      </w:r>
      <w:r>
        <w:t xml:space="preserve"> </w:t>
      </w:r>
      <w:r>
        <w:t xml:space="preserve">comprising Omicron and sub variants BA.1, BA.2, BA.2.75, BA.4, and BA.5. When applicable, we also dichotomized participants’ prior infections into</w:t>
      </w:r>
      <w:r>
        <w:t xml:space="preserve"> </w:t>
      </w:r>
      <w:r>
        <w:t xml:space="preserve">“</w:t>
      </w:r>
      <w:r>
        <w:t xml:space="preserve">Pre-Omicron</w:t>
      </w:r>
      <w:r>
        <w:t xml:space="preserve">”</w:t>
      </w:r>
      <w:r>
        <w:t xml:space="preserve"> </w:t>
      </w:r>
      <w:r>
        <w:t xml:space="preserve">and</w:t>
      </w:r>
      <w:r>
        <w:t xml:space="preserve"> </w:t>
      </w:r>
      <w:r>
        <w:t xml:space="preserve">“</w:t>
      </w:r>
      <w:r>
        <w:t xml:space="preserve">Omicron</w:t>
      </w:r>
      <w:r>
        <w:t xml:space="preserve">”</w:t>
      </w:r>
      <w:r>
        <w:t xml:space="preserve"> </w:t>
      </w:r>
      <w:r>
        <w:t xml:space="preserve">based on the window of time during which such an infection could have occurred. Any infection that could not have occurred after Dec 1st, 2021 was designated</w:t>
      </w:r>
      <w:r>
        <w:t xml:space="preserve"> </w:t>
      </w:r>
      <w:r>
        <w:t xml:space="preserve">“</w:t>
      </w:r>
      <w:r>
        <w:t xml:space="preserve">Pre - Omicron</w:t>
      </w:r>
      <w:r>
        <w:t xml:space="preserve">”</w:t>
      </w:r>
      <w:r>
        <w:t xml:space="preserve"> </w:t>
      </w:r>
      <w:r>
        <w:t xml:space="preserve">whereas all other infections were considered</w:t>
      </w:r>
      <w:r>
        <w:t xml:space="preserve"> </w:t>
      </w:r>
      <w:r>
        <w:t xml:space="preserve">“</w:t>
      </w:r>
      <w:r>
        <w:t xml:space="preserve">Omicron</w:t>
      </w:r>
      <w:r>
        <w:t xml:space="preserve">”</w:t>
      </w:r>
      <w:r>
        <w:t xml:space="preserve"> </w:t>
      </w:r>
      <w:r>
        <w:t xml:space="preserve">for our analysis. Publication bias was assessed by test of funnel plot asymmetry (Supplemental Figures S1-2 and Table S3).</w:t>
      </w:r>
      <w:r>
        <w:rPr>
          <w:vertAlign w:val="superscript"/>
        </w:rPr>
        <w:t xml:space="preserve">17</w:t>
      </w:r>
    </w:p>
    <w:p>
      <w:pPr>
        <w:pStyle w:val="BodyText"/>
      </w:pPr>
      <w:r>
        <w:t xml:space="preserve">The time since most recent vaccination dose, or in the case of natural immunity, time since prior infection, was reported over either closed or open time intervals. In all our analysis we defined</w:t>
      </w:r>
      <w:r>
        <w:t xml:space="preserve"> </w:t>
      </w:r>
      <m:oMath>
        <m:r>
          <m:t>t</m:t>
        </m:r>
      </m:oMath>
      <w:r>
        <w:t xml:space="preserve"> </w:t>
      </w:r>
      <w:r>
        <w:t xml:space="preserve">to be the lower bound for all time intervals.</w:t>
      </w:r>
    </w:p>
    <w:p>
      <w:pPr>
        <w:pStyle w:val="CaptionedFigure"/>
      </w:pPr>
      <w:r>
        <w:drawing>
          <wp:inline>
            <wp:extent cx="5334000" cy="2320245"/>
            <wp:effectExtent b="0" l="0" r="0" t="0"/>
            <wp:docPr descr="Figure 1: Study inclusion flowchart" title="" id="32" name="Picture"/>
            <a:graphic>
              <a:graphicData uri="http://schemas.openxmlformats.org/drawingml/2006/picture">
                <pic:pic>
                  <pic:nvPicPr>
                    <pic:cNvPr descr="flowchart.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2320245"/>
                    </a:xfrm>
                    <a:prstGeom prst="rect">
                      <a:avLst/>
                    </a:prstGeom>
                    <a:noFill/>
                    <a:ln w="9525">
                      <a:noFill/>
                      <a:headEnd/>
                      <a:tailEnd/>
                    </a:ln>
                  </pic:spPr>
                </pic:pic>
              </a:graphicData>
            </a:graphic>
          </wp:inline>
        </w:drawing>
      </w:r>
    </w:p>
    <w:p>
      <w:pPr>
        <w:pStyle w:val="ImageCaption"/>
      </w:pPr>
      <w:bookmarkStart w:id="34" w:name="fig:study-flowchart"/>
      <w:bookmarkEnd w:id="34"/>
      <w:r>
        <w:t xml:space="preserve">Figure 1: Study inclusion flowchart</w:t>
      </w:r>
    </w:p>
    <w:p>
      <w:r>
        <w:br w:type="page"/>
      </w:r>
    </w:p>
    <w:p>
      <w:pPr>
        <w:pStyle w:val="TableCaption"/>
      </w:pPr>
      <w:bookmarkStart w:id="35" w:name="tab:Estimate-table"/>
      <w:bookmarkEnd w:id="35"/>
      <w:r>
        <w:t xml:space="preserve">Table 1:</w:t>
      </w:r>
      <w:r>
        <w:t xml:space="preserve"> </w:t>
      </w:r>
      <w:r>
        <w:t xml:space="preserve">Number of studies (estimates) for each type of protection used in this meta-analysis.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93"/>
        <w:gridCol w:w="1548"/>
        <w:gridCol w:w="1230"/>
        <w:gridCol w:w="1108"/>
        <w:gridCol w:w="1230"/>
        <w:gridCol w:w="1108"/>
        <w:gridCol w:w="1230"/>
        <w:gridCol w:w="1230"/>
      </w:tblGrid>
      <w:tr>
        <w:trPr>
          <w:trHeight w:val="734"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Infection</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Vaccination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Status</w:t>
            </w:r>
          </w:p>
        </w:tc>
        <w:tc>
          <w:tcPr>
            <w:gridSpan w:val="6"/>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studies (time points) measure protection against...</w:t>
            </w:r>
          </w:p>
        </w:tc>
      </w:tr>
      <w:tr>
        <w:trPr>
          <w:trHeight w:val="824"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Infection (E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bscript"/>
                <w:sz w:val="22"/>
                <w:szCs w:val="22"/>
                <w:color w:val="000000"/>
              </w:rPr>
              <w:t xml:space="preserve">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Disease (E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bscript"/>
                <w:sz w:val="22"/>
                <w:szCs w:val="22"/>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Severe Disease (E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bscript"/>
                <w:sz w:val="22"/>
                <w:szCs w:val="22"/>
                <w:color w:val="000000"/>
              </w:rPr>
              <w:t xml:space="preserve">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734" w:hRule="auto"/>
          <w:tblHeader/>
        </w:trPr>
        header3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w:t>
            </w:r>
          </w:p>
        </w:tc>
      </w:tr>
      <w:tr>
        <w:trPr>
          <w:trHeight w:val="617"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Primary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 (412)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 (71)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 (207)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 (344)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 (74)</w:t>
            </w:r>
          </w:p>
        </w:tc>
      </w:tr>
      <w:tr>
        <w:trPr>
          <w:trHeight w:val="617"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Boosted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 (73)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 (100)</w:t>
            </w:r>
          </w:p>
        </w:tc>
      </w:tr>
      <w:tr>
        <w:trPr>
          <w:trHeight w:val="122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pre-Omicron: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Infection occurred during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 window ending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prior to Dec 1st, 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(5)</w:t>
            </w:r>
          </w:p>
        </w:tc>
      </w:tr>
      <w:tr>
        <w:trPr>
          <w:trHeight w:val="122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Primary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(2)</w:t>
            </w:r>
          </w:p>
        </w:tc>
      </w:tr>
      <w:tr>
        <w:trPr>
          <w:trHeight w:val="122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Boosted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(2)</w:t>
            </w:r>
          </w:p>
        </w:tc>
      </w:tr>
      <w:tr>
        <w:trPr>
          <w:trHeight w:val="1175" w:hRule="auto"/>
        </w:trPr>
        body6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Omicron: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Infection occurred during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 window ending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on or after Dec 1st, 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1175" w:hRule="auto"/>
        </w:trPr>
        body7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Primary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1175" w:hRule="auto"/>
        </w:trPr>
        body8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Boosted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36"/>
    <w:bookmarkStart w:id="38" w:name="data-analysis"/>
    <w:p>
      <w:pPr>
        <w:pStyle w:val="Heading3"/>
      </w:pPr>
      <w:r>
        <w:t xml:space="preserve">Data Analysis</w:t>
      </w:r>
    </w:p>
    <w:p>
      <w:pPr>
        <w:pStyle w:val="FirstParagraph"/>
      </w:pPr>
      <w:r>
        <w:t xml:space="preserve">To quantify the waning of</w:t>
      </w:r>
      <w:r>
        <w:t xml:space="preserve"> </w:t>
      </w:r>
      <m:oMath>
        <m:sSub>
          <m:e>
            <m:r>
              <m:t>E</m:t>
            </m:r>
          </m:e>
          <m:sub>
            <m:r>
              <m:t>S</m:t>
            </m:r>
          </m:sub>
        </m:sSub>
      </m:oMath>
      <w:r>
        <w:t xml:space="preserve">,</w:t>
      </w:r>
      <w:r>
        <w:t xml:space="preserve"> </w:t>
      </w:r>
      <m:oMath>
        <m:sSub>
          <m:e>
            <m:r>
              <m:t>E</m:t>
            </m:r>
          </m:e>
          <m:sub>
            <m:r>
              <m:t>D</m:t>
            </m:r>
          </m:sub>
        </m:sSub>
      </m:oMath>
      <w:r>
        <w:t xml:space="preserve"> </w:t>
      </w:r>
      <w:r>
        <w:t xml:space="preserve">and</w:t>
      </w:r>
      <w:r>
        <w:t xml:space="preserve"> </w:t>
      </w:r>
      <m:oMath>
        <m:sSub>
          <m:e>
            <m:r>
              <m:t>E</m:t>
            </m:r>
          </m:e>
          <m:sub>
            <m:r>
              <m:t>M</m:t>
            </m:r>
          </m:sub>
        </m:sSub>
      </m:oMath>
      <w:r>
        <w:t xml:space="preserve">, we fit a series of mixed-effects linear models to the data, each including different covariates,</w:t>
      </w:r>
      <w:r>
        <w:t xml:space="preserve"> </w:t>
      </w:r>
      <m:oMath>
        <m:r>
          <m:rPr>
            <m:sty m:val="b"/>
          </m:rPr>
          <m:t>X</m:t>
        </m:r>
      </m:oMath>
      <w:r>
        <w:t xml:space="preserve">, using a different subset of the data, and targeting different outcomes (Table</w:t>
      </w:r>
      <w:r>
        <w:t xml:space="preserve"> </w:t>
      </w:r>
      <w:r>
        <w:t xml:space="preserve">2</w:t>
      </w:r>
      <w:r>
        <w:t xml:space="preserve">).</w:t>
      </w:r>
      <w:r>
        <w:rPr>
          <w:vertAlign w:val="superscript"/>
        </w:rPr>
        <w:t xml:space="preserve">18</w:t>
      </w:r>
      <w:r>
        <w:t xml:space="preserve"> </w:t>
      </w:r>
      <w:r>
        <w:t xml:space="preserve">Each model uses a multilevel structure in which the estimate</w:t>
      </w:r>
      <w:r>
        <w:t xml:space="preserve"> </w:t>
      </w:r>
      <m:oMath>
        <m:r>
          <m:t>i</m:t>
        </m:r>
      </m:oMath>
      <w:r>
        <w:t xml:space="preserve"> </w:t>
      </w:r>
      <w:r>
        <w:t xml:space="preserve">in study</w:t>
      </w:r>
      <w:r>
        <w:t xml:space="preserve"> </w:t>
      </w:r>
      <m:oMath>
        <m:r>
          <m:t>j</m:t>
        </m:r>
      </m:oMath>
      <w:r>
        <w:t xml:space="preserve">,</w:t>
      </w:r>
      <w:r>
        <w:t xml:space="preserve"> </w:t>
      </w:r>
      <m:oMath>
        <m:sSub>
          <m:e>
            <m:r>
              <m:t>E</m:t>
            </m:r>
          </m:e>
          <m:sub>
            <m:r>
              <m:t>i</m:t>
            </m:r>
            <m:r>
              <m:t>j</m:t>
            </m:r>
          </m:sub>
        </m:sSub>
      </m:oMath>
      <w:r>
        <w:t xml:space="preserve">, potentially depends on 1) global, covariate-dependent estimates of initial immunity,</w:t>
      </w:r>
      <w:r>
        <w:t xml:space="preserve"> </w:t>
      </w:r>
      <m:oMath>
        <m:sSub>
          <m:e>
            <m:r>
              <m:t>β</m:t>
            </m:r>
          </m:e>
          <m:sub>
            <m:r>
              <m:t>0</m:t>
            </m:r>
          </m:sub>
        </m:sSub>
        <m:sSub>
          <m:e>
            <m:r>
              <m:rPr>
                <m:sty m:val="b"/>
              </m:rPr>
              <m:t>X</m:t>
            </m:r>
          </m:e>
          <m:sub>
            <m:r>
              <m:t>i</m:t>
            </m:r>
            <m:r>
              <m:t>j</m:t>
            </m:r>
          </m:sub>
        </m:sSub>
      </m:oMath>
      <w:r>
        <w:t xml:space="preserve">, and linear rate of waning,</w:t>
      </w:r>
      <w:r>
        <w:t xml:space="preserve"> </w:t>
      </w:r>
      <m:oMath>
        <m:sSub>
          <m:e>
            <m:r>
              <m:t>β</m:t>
            </m:r>
          </m:e>
          <m:sub>
            <m:r>
              <m:t>1</m:t>
            </m:r>
          </m:sub>
        </m:sSub>
        <m:sSub>
          <m:e>
            <m:r>
              <m:rPr>
                <m:sty m:val="b"/>
              </m:rPr>
              <m:t>X</m:t>
            </m:r>
          </m:e>
          <m:sub>
            <m:r>
              <m:t>i</m:t>
            </m:r>
            <m:r>
              <m:t>j</m:t>
            </m:r>
          </m:sub>
        </m:sSub>
      </m:oMath>
      <w:r>
        <w:t xml:space="preserve">, 2) corresponding study-level and estimates-level effects on intercept,</w:t>
      </w:r>
      <w:r>
        <w:t xml:space="preserve"> </w:t>
      </w:r>
      <m:oMath>
        <m:d>
          <m:dPr>
            <m:begChr m:val="("/>
            <m:endChr m:val=")"/>
            <m:sepChr m:val=""/>
            <m:grow/>
          </m:dPr>
          <m:e>
            <m:sSub>
              <m:e>
                <m:r>
                  <m:rPr>
                    <m:sty m:val="b"/>
                  </m:rPr>
                  <m:t>u</m:t>
                </m:r>
              </m:e>
              <m:sub>
                <m:r>
                  <m:t>j</m:t>
                </m:r>
                <m:r>
                  <m:rPr>
                    <m:sty m:val="p"/>
                  </m:rPr>
                  <m:t>,</m:t>
                </m:r>
                <m:r>
                  <m:t>0</m:t>
                </m:r>
              </m:sub>
            </m:sSub>
            <m:r>
              <m:rPr>
                <m:sty m:val="p"/>
              </m:rPr>
              <m:t>+</m:t>
            </m:r>
            <m:sSub>
              <m:e>
                <m:r>
                  <m:rPr>
                    <m:sty m:val="b"/>
                  </m:rPr>
                  <m:t>v</m:t>
                </m:r>
              </m:e>
              <m:sub>
                <m:r>
                  <m:t>i</m:t>
                </m:r>
                <m:r>
                  <m:t>j</m:t>
                </m:r>
                <m:r>
                  <m:rPr>
                    <m:sty m:val="p"/>
                  </m:rPr>
                  <m:t>,</m:t>
                </m:r>
                <m:r>
                  <m:t>0</m:t>
                </m:r>
              </m:sub>
            </m:sSub>
          </m:e>
        </m:d>
        <m:sSub>
          <m:e>
            <m:r>
              <m:rPr>
                <m:sty m:val="b"/>
              </m:rPr>
              <m:t>X</m:t>
            </m:r>
          </m:e>
          <m:sub>
            <m:r>
              <m:t>i</m:t>
            </m:r>
            <m:r>
              <m:t>j</m:t>
            </m:r>
          </m:sub>
        </m:sSub>
      </m:oMath>
      <w:r>
        <w:t xml:space="preserve"> </w:t>
      </w:r>
      <w:r>
        <w:t xml:space="preserve">and slope,</w:t>
      </w:r>
      <w:r>
        <w:t xml:space="preserve"> </w:t>
      </w:r>
      <m:oMath>
        <m:sSub>
          <m:e>
            <m:r>
              <m:t>u</m:t>
            </m:r>
          </m:e>
          <m:sub>
            <m:r>
              <m:t>j</m:t>
            </m:r>
            <m:r>
              <m:rPr>
                <m:sty m:val="p"/>
              </m:rPr>
              <m:t>,</m:t>
            </m:r>
            <m:r>
              <m:t>1</m:t>
            </m:r>
          </m:sub>
        </m:sSub>
        <m:r>
          <m:rPr>
            <m:sty m:val="p"/>
          </m:rPr>
          <m:t>+</m:t>
        </m:r>
        <m:sSub>
          <m:e>
            <m:r>
              <m:t>v</m:t>
            </m:r>
          </m:e>
          <m:sub>
            <m:r>
              <m:t>i</m:t>
            </m:r>
            <m:r>
              <m:t>j</m:t>
            </m:r>
            <m:r>
              <m:rPr>
                <m:sty m:val="p"/>
              </m:rPr>
              <m:t>,</m:t>
            </m:r>
            <m:r>
              <m:t>1</m:t>
            </m:r>
          </m:sub>
        </m:sSub>
      </m:oMath>
      <w:r>
        <w:t xml:space="preserve"> </w:t>
      </w:r>
      <w:r>
        <w:t xml:space="preserve">and 3) sampling effects</w:t>
      </w:r>
      <w:r>
        <w:t xml:space="preserve"> </w:t>
      </w:r>
      <m:oMath>
        <m:sSub>
          <m:e>
            <m:r>
              <m:t>ϵ</m:t>
            </m:r>
          </m:e>
          <m:sub>
            <m:r>
              <m:t>i</m:t>
            </m:r>
            <m:r>
              <m:t>j</m:t>
            </m:r>
          </m:sub>
        </m:sSub>
        <m:r>
          <m:rPr>
            <m:sty m:val="p"/>
          </m:rPr>
          <m:t>∼</m:t>
        </m:r>
        <m:r>
          <m:rPr>
            <m:sty m:val="p"/>
            <m:scr m:val="script"/>
          </m:rPr>
          <m:t>N</m:t>
        </m:r>
        <m:d>
          <m:dPr>
            <m:begChr m:val="("/>
            <m:endChr m:val=")"/>
            <m:sepChr m:val=""/>
            <m:grow/>
          </m:dPr>
          <m:e>
            <m:r>
              <m:t>0</m:t>
            </m:r>
            <m:r>
              <m:rPr>
                <m:sty m:val="p"/>
              </m:rPr>
              <m:t>,</m:t>
            </m:r>
            <m:sSubSup>
              <m:e>
                <m:r>
                  <m:t>σ</m:t>
                </m:r>
              </m:e>
              <m:sub>
                <m:sSub>
                  <m:e>
                    <m:r>
                      <m:t>r</m:t>
                    </m:r>
                  </m:e>
                  <m:sub>
                    <m:r>
                      <m:t>i</m:t>
                    </m:r>
                    <m:r>
                      <m:t>j</m:t>
                    </m:r>
                  </m:sub>
                </m:sSub>
              </m:sub>
              <m:sup>
                <m:r>
                  <m:t>2</m:t>
                </m:r>
              </m:sup>
            </m:sSubSup>
          </m:e>
        </m:d>
      </m:oMath>
      <w:r>
        <w:t xml:space="preserve">. The estimate-level random effects,</w:t>
      </w:r>
      <w:r>
        <w:t xml:space="preserve"> </w:t>
      </w:r>
      <m:oMath>
        <m:sSub>
          <m:e>
            <m:r>
              <m:t>ϵ</m:t>
            </m:r>
          </m:e>
          <m:sub>
            <m:r>
              <m:t>i</m:t>
            </m:r>
            <m:r>
              <m:t>j</m:t>
            </m:r>
          </m:sub>
        </m:sSub>
      </m:oMath>
      <w:r>
        <w:t xml:space="preserve"> </w:t>
      </w:r>
      <w:r>
        <w:t xml:space="preserve">are also normally distributed with a variance</w:t>
      </w:r>
      <w:r>
        <w:t xml:space="preserve"> </w:t>
      </w:r>
      <m:oMath>
        <m:sSub>
          <m:e>
            <m:r>
              <m:t>σ</m:t>
            </m:r>
          </m:e>
          <m:sub>
            <m:r>
              <m:t>i</m:t>
            </m:r>
            <m:r>
              <m:t>j</m:t>
            </m:r>
          </m:sub>
        </m:sSub>
      </m:oMath>
      <w:r>
        <w:t xml:space="preserve"> </w:t>
      </w:r>
      <w:r>
        <w:t xml:space="preserve">computed from the width of the corresponding estimate’s confidence interval. The generic model is given by</w:t>
      </w:r>
    </w:p>
    <w:p>
      <w:pPr>
        <w:pStyle w:val="BodyText"/>
      </w:pPr>
      <m:oMathPara>
        <m:oMathParaPr>
          <m:jc m:val="center"/>
        </m:oMathParaPr>
        <m:oMath>
          <m:m>
            <m:mPr>
              <m:baseJc m:val="center"/>
              <m:plcHide m:val="1"/>
              <m:mcs>
                <m:mc>
                  <m:mcPr>
                    <m:mcJc m:val="right"/>
                    <m:count m:val="1"/>
                  </m:mcPr>
                </m:mc>
                <m:mc>
                  <m:mcPr>
                    <m:mcJc m:val="left"/>
                    <m:count m:val="1"/>
                  </m:mcPr>
                </m:mc>
              </m:mcs>
            </m:mPr>
            <m:mr>
              <m:e>
                <m:sSub>
                  <m:e>
                    <m:r>
                      <m:t>E</m:t>
                    </m:r>
                  </m:e>
                  <m:sub>
                    <m:r>
                      <m:t>i</m:t>
                    </m:r>
                    <m:r>
                      <m:t>j</m:t>
                    </m:r>
                  </m:sub>
                </m:sSub>
              </m:e>
              <m:e>
                <m:r>
                  <m:rPr>
                    <m:sty m:val="p"/>
                  </m:rPr>
                  <m:t>=</m:t>
                </m:r>
                <m:d>
                  <m:dPr>
                    <m:begChr m:val="("/>
                    <m:endChr m:val=")"/>
                    <m:sepChr m:val=""/>
                    <m:grow/>
                  </m:dPr>
                  <m:e>
                    <m:sSub>
                      <m:e>
                        <m:r>
                          <m:rPr>
                            <m:sty m:val="b"/>
                          </m:rPr>
                          <m:t>β</m:t>
                        </m:r>
                      </m:e>
                      <m:sub>
                        <m:r>
                          <m:t>0</m:t>
                        </m:r>
                      </m:sub>
                    </m:sSub>
                    <m:r>
                      <m:rPr>
                        <m:sty m:val="p"/>
                      </m:rPr>
                      <m:t>+</m:t>
                    </m:r>
                    <m:sSub>
                      <m:e>
                        <m:r>
                          <m:rPr>
                            <m:sty m:val="b"/>
                          </m:rPr>
                          <m:t>u</m:t>
                        </m:r>
                      </m:e>
                      <m:sub>
                        <m:r>
                          <m:t>j</m:t>
                        </m:r>
                        <m:r>
                          <m:rPr>
                            <m:sty m:val="p"/>
                          </m:rPr>
                          <m:t>,</m:t>
                        </m:r>
                        <m:r>
                          <m:t>0</m:t>
                        </m:r>
                      </m:sub>
                    </m:sSub>
                    <m:r>
                      <m:rPr>
                        <m:sty m:val="p"/>
                      </m:rPr>
                      <m:t>+</m:t>
                    </m:r>
                    <m:sSub>
                      <m:e>
                        <m:r>
                          <m:rPr>
                            <m:sty m:val="b"/>
                          </m:rPr>
                          <m:t>v</m:t>
                        </m:r>
                      </m:e>
                      <m:sub>
                        <m:r>
                          <m:t>i</m:t>
                        </m:r>
                        <m:r>
                          <m:t>j</m:t>
                        </m:r>
                        <m:r>
                          <m:rPr>
                            <m:sty m:val="p"/>
                          </m:rPr>
                          <m:t>,</m:t>
                        </m:r>
                        <m:r>
                          <m:t>0</m:t>
                        </m:r>
                      </m:sub>
                    </m:sSub>
                  </m:e>
                </m:d>
                <m:sSub>
                  <m:e>
                    <m:r>
                      <m:rPr>
                        <m:sty m:val="b"/>
                      </m:rPr>
                      <m:t>X</m:t>
                    </m:r>
                  </m:e>
                  <m:sub>
                    <m:r>
                      <m:t>i</m:t>
                    </m:r>
                    <m:r>
                      <m:t>j</m:t>
                    </m:r>
                  </m:sub>
                </m:sSub>
                <m:r>
                  <m:rPr>
                    <m:sty m:val="p"/>
                  </m:rPr>
                  <m:t>+</m:t>
                </m:r>
                <m:r>
                  <m:rPr>
                    <m:sty m:val="p"/>
                  </m:rPr>
                  <m:t>+</m:t>
                </m:r>
                <m:d>
                  <m:dPr>
                    <m:begChr m:val="("/>
                    <m:endChr m:val=")"/>
                    <m:sepChr m:val=""/>
                    <m:grow/>
                  </m:dPr>
                  <m:e>
                    <m:sSub>
                      <m:e>
                        <m:r>
                          <m:rPr>
                            <m:sty m:val="b"/>
                          </m:rPr>
                          <m:t>β</m:t>
                        </m:r>
                      </m:e>
                      <m:sub>
                        <m:r>
                          <m:t>1</m:t>
                        </m:r>
                      </m:sub>
                    </m:sSub>
                    <m:sSub>
                      <m:e>
                        <m:r>
                          <m:rPr>
                            <m:sty m:val="b"/>
                          </m:rPr>
                          <m:t>X</m:t>
                        </m:r>
                      </m:e>
                      <m:sub>
                        <m:r>
                          <m:t>i</m:t>
                        </m:r>
                        <m:r>
                          <m:t>j</m:t>
                        </m:r>
                      </m:sub>
                    </m:sSub>
                    <m:r>
                      <m:rPr>
                        <m:sty m:val="p"/>
                      </m:rPr>
                      <m:t>+</m:t>
                    </m:r>
                    <m:sSub>
                      <m:e>
                        <m:r>
                          <m:t>u</m:t>
                        </m:r>
                      </m:e>
                      <m:sub>
                        <m:r>
                          <m:t>j</m:t>
                        </m:r>
                        <m:r>
                          <m:rPr>
                            <m:sty m:val="p"/>
                          </m:rPr>
                          <m:t>,</m:t>
                        </m:r>
                        <m:r>
                          <m:t>1</m:t>
                        </m:r>
                      </m:sub>
                    </m:sSub>
                    <m:r>
                      <m:rPr>
                        <m:sty m:val="p"/>
                      </m:rPr>
                      <m:t>+</m:t>
                    </m:r>
                    <m:sSub>
                      <m:e>
                        <m:r>
                          <m:t>v</m:t>
                        </m:r>
                      </m:e>
                      <m:sub>
                        <m:r>
                          <m:t>i</m:t>
                        </m:r>
                        <m:r>
                          <m:t>j</m:t>
                        </m:r>
                        <m:r>
                          <m:rPr>
                            <m:sty m:val="p"/>
                          </m:rPr>
                          <m:t>,</m:t>
                        </m:r>
                        <m:r>
                          <m:t>1</m:t>
                        </m:r>
                      </m:sub>
                    </m:sSub>
                  </m:e>
                </m:d>
                <m:sSub>
                  <m:e>
                    <m:r>
                      <m:t>t</m:t>
                    </m:r>
                  </m:e>
                  <m:sub>
                    <m:r>
                      <m:t>i</m:t>
                    </m:r>
                    <m:r>
                      <m:t>j</m:t>
                    </m:r>
                  </m:sub>
                </m:sSub>
                <m:r>
                  <m:rPr>
                    <m:sty m:val="p"/>
                  </m:rPr>
                  <m:t>+</m:t>
                </m:r>
                <m:sSub>
                  <m:e>
                    <m:r>
                      <m:t>ϵ</m:t>
                    </m:r>
                  </m:e>
                  <m:sub>
                    <m:r>
                      <m:t>i</m:t>
                    </m:r>
                    <m:r>
                      <m:t>j</m:t>
                    </m:r>
                  </m:sub>
                </m:sSub>
              </m:e>
            </m:mr>
            <m:mr>
              <m:e>
                <m:d>
                  <m:dPr>
                    <m:begChr m:val="("/>
                    <m:endChr m:val=")"/>
                    <m:sepChr m:val=""/>
                    <m:grow/>
                  </m:dPr>
                  <m:e>
                    <m:m>
                      <m:mPr>
                        <m:baseJc m:val="center"/>
                        <m:plcHide m:val="1"/>
                        <m:mcs>
                          <m:mc>
                            <m:mcPr>
                              <m:mcJc m:val="center"/>
                              <m:count m:val="1"/>
                            </m:mcPr>
                          </m:mc>
                        </m:mcs>
                      </m:mPr>
                      <m:mr>
                        <m:e>
                          <m:sSub>
                            <m:e>
                              <m:r>
                                <m:rPr>
                                  <m:sty m:val="b"/>
                                </m:rPr>
                                <m:t>u</m:t>
                              </m:r>
                            </m:e>
                            <m:sub>
                              <m:r>
                                <m:t>0</m:t>
                              </m:r>
                              <m:r>
                                <m:rPr>
                                  <m:sty m:val="p"/>
                                </m:rPr>
                                <m:t>,</m:t>
                              </m:r>
                              <m:r>
                                <m:t>j</m:t>
                              </m:r>
                            </m:sub>
                          </m:sSub>
                        </m:e>
                      </m:mr>
                      <m:mr>
                        <m:e>
                          <m:sSub>
                            <m:e>
                              <m:r>
                                <m:t>u</m:t>
                              </m:r>
                            </m:e>
                            <m:sub>
                              <m:r>
                                <m:t>1</m:t>
                              </m:r>
                              <m:r>
                                <m:rPr>
                                  <m:sty m:val="p"/>
                                </m:rPr>
                                <m:t>,</m:t>
                              </m:r>
                              <m:r>
                                <m:t>j</m:t>
                              </m:r>
                            </m:sub>
                          </m:sSub>
                        </m:e>
                      </m:mr>
                    </m:m>
                  </m:e>
                </m:d>
              </m:e>
              <m:e>
                <m:r>
                  <m:rPr>
                    <m:sty m:val="p"/>
                  </m:rPr>
                  <m:t>∼</m:t>
                </m:r>
                <m:r>
                  <m:rPr>
                    <m:sty m:val="p"/>
                    <m:scr m:val="script"/>
                  </m:rPr>
                  <m:t>N</m:t>
                </m:r>
                <m:d>
                  <m:dPr>
                    <m:begChr m:val="("/>
                    <m:endChr m:val=")"/>
                    <m:sepChr m:val=""/>
                    <m:grow/>
                  </m:dPr>
                  <m:e>
                    <m:r>
                      <m:t>0</m:t>
                    </m:r>
                    <m:r>
                      <m:rPr>
                        <m:sty m:val="p"/>
                      </m:rPr>
                      <m:t>,</m:t>
                    </m:r>
                    <m:sSub>
                      <m:e>
                        <m:r>
                          <m:t>Σ</m:t>
                        </m:r>
                      </m:e>
                      <m:sub>
                        <m:r>
                          <m:t>u</m:t>
                        </m:r>
                      </m:sub>
                    </m:sSub>
                  </m:e>
                </m:d>
                <m:r>
                  <m:t>  </m:t>
                </m:r>
                <m:d>
                  <m:dPr>
                    <m:begChr m:val="("/>
                    <m:endChr m:val=")"/>
                    <m:sepChr m:val=""/>
                    <m:grow/>
                  </m:dPr>
                  <m:e>
                    <m:m>
                      <m:mPr>
                        <m:baseJc m:val="center"/>
                        <m:plcHide m:val="1"/>
                        <m:mcs>
                          <m:mc>
                            <m:mcPr>
                              <m:mcJc m:val="center"/>
                              <m:count m:val="1"/>
                            </m:mcPr>
                          </m:mc>
                        </m:mcs>
                      </m:mPr>
                      <m:mr>
                        <m:e>
                          <m:sSub>
                            <m:e>
                              <m:r>
                                <m:rPr>
                                  <m:sty m:val="b"/>
                                </m:rPr>
                                <m:t>v</m:t>
                              </m:r>
                            </m:e>
                            <m:sub>
                              <m:r>
                                <m:t>0</m:t>
                              </m:r>
                              <m:r>
                                <m:rPr>
                                  <m:sty m:val="p"/>
                                </m:rPr>
                                <m:t>,</m:t>
                              </m:r>
                              <m:r>
                                <m:t>i</m:t>
                              </m:r>
                              <m:r>
                                <m:t>j</m:t>
                              </m:r>
                            </m:sub>
                          </m:sSub>
                        </m:e>
                      </m:mr>
                      <m:mr>
                        <m:e>
                          <m:sSub>
                            <m:e>
                              <m:r>
                                <m:t>v</m:t>
                              </m:r>
                            </m:e>
                            <m:sub>
                              <m:r>
                                <m:t>1</m:t>
                              </m:r>
                              <m:r>
                                <m:rPr>
                                  <m:sty m:val="p"/>
                                </m:rPr>
                                <m:t>,</m:t>
                              </m:r>
                              <m:r>
                                <m:t>i</m:t>
                              </m:r>
                              <m:r>
                                <m:t>j</m:t>
                              </m:r>
                            </m:sub>
                          </m:sSub>
                        </m:e>
                      </m:mr>
                    </m:m>
                  </m:e>
                </m:d>
                <m:r>
                  <m:rPr>
                    <m:sty m:val="p"/>
                  </m:rPr>
                  <m:t>∼</m:t>
                </m:r>
                <m:r>
                  <m:rPr>
                    <m:sty m:val="p"/>
                    <m:scr m:val="script"/>
                  </m:rPr>
                  <m:t>N</m:t>
                </m:r>
                <m:d>
                  <m:dPr>
                    <m:begChr m:val="("/>
                    <m:endChr m:val=")"/>
                    <m:sepChr m:val=""/>
                    <m:grow/>
                  </m:dPr>
                  <m:e>
                    <m:r>
                      <m:t>0</m:t>
                    </m:r>
                    <m:r>
                      <m:rPr>
                        <m:sty m:val="p"/>
                      </m:rPr>
                      <m:t>,</m:t>
                    </m:r>
                    <m:sSub>
                      <m:e>
                        <m:r>
                          <m:t>Σ</m:t>
                        </m:r>
                      </m:e>
                      <m:sub>
                        <m:r>
                          <m:t>v</m:t>
                        </m:r>
                      </m:sub>
                    </m:sSub>
                  </m:e>
                </m:d>
                <m:r>
                  <m:t>  </m:t>
                </m:r>
                <m:sSub>
                  <m:e>
                    <m:r>
                      <m:t>ϵ</m:t>
                    </m:r>
                  </m:e>
                  <m:sub>
                    <m:r>
                      <m:t>i</m:t>
                    </m:r>
                    <m:r>
                      <m:t>j</m:t>
                    </m:r>
                  </m:sub>
                </m:sSub>
                <m:r>
                  <m:rPr>
                    <m:sty m:val="p"/>
                  </m:rPr>
                  <m:t>∼</m:t>
                </m:r>
                <m:r>
                  <m:rPr>
                    <m:sty m:val="p"/>
                    <m:scr m:val="script"/>
                  </m:rPr>
                  <m:t>N</m:t>
                </m:r>
                <m:d>
                  <m:dPr>
                    <m:begChr m:val="("/>
                    <m:endChr m:val=")"/>
                    <m:sepChr m:val=""/>
                    <m:grow/>
                  </m:dPr>
                  <m:e>
                    <m:r>
                      <m:t>0</m:t>
                    </m:r>
                    <m:r>
                      <m:rPr>
                        <m:sty m:val="p"/>
                      </m:rPr>
                      <m:t>,</m:t>
                    </m:r>
                    <m:sSubSup>
                      <m:e>
                        <m:r>
                          <m:t>σ</m:t>
                        </m:r>
                      </m:e>
                      <m:sub>
                        <m:r>
                          <m:t>i</m:t>
                        </m:r>
                        <m:r>
                          <m:t>j</m:t>
                        </m:r>
                      </m:sub>
                      <m:sup>
                        <m:r>
                          <m:t>2</m:t>
                        </m:r>
                      </m:sup>
                    </m:sSubSup>
                  </m:e>
                </m:d>
              </m:e>
            </m:mr>
          </m:m>
        </m:oMath>
      </m:oMathPara>
    </w:p>
    <w:p>
      <w:pPr>
        <w:pStyle w:val="FirstParagraph"/>
      </w:pPr>
      <w:r>
        <w:t xml:space="preserve">We also considered model forms with one or both of the following simplifications:</w:t>
      </w:r>
    </w:p>
    <w:p>
      <w:pPr>
        <w:numPr>
          <w:ilvl w:val="0"/>
          <w:numId w:val="1002"/>
        </w:numPr>
        <w:pStyle w:val="Compact"/>
      </w:pPr>
      <w:r>
        <w:t xml:space="preserve">Either study-level or estimate-level random effects ignored, i.e. </w:t>
      </w:r>
      <m:oMath>
        <m:sSub>
          <m:e>
            <m:r>
              <m:t>Σ</m:t>
            </m:r>
          </m:e>
          <m:sub>
            <m:r>
              <m:t>u</m:t>
            </m:r>
          </m:sub>
        </m:sSub>
        <m:r>
          <m:rPr>
            <m:sty m:val="p"/>
          </m:rPr>
          <m:t>=</m:t>
        </m:r>
        <m:r>
          <m:t>0</m:t>
        </m:r>
      </m:oMath>
      <w:r>
        <w:t xml:space="preserve"> </w:t>
      </w:r>
      <w:r>
        <w:t xml:space="preserve">or</w:t>
      </w:r>
      <w:r>
        <w:t xml:space="preserve"> </w:t>
      </w:r>
      <m:oMath>
        <m:sSub>
          <m:e>
            <m:r>
              <m:t>Σ</m:t>
            </m:r>
          </m:e>
          <m:sub>
            <m:r>
              <m:t>v</m:t>
            </m:r>
          </m:sub>
        </m:sSub>
        <m:r>
          <m:rPr>
            <m:sty m:val="p"/>
          </m:rPr>
          <m:t>=</m:t>
        </m:r>
        <m:r>
          <m:t>0</m:t>
        </m:r>
      </m:oMath>
      <w:r>
        <w:t xml:space="preserve">, but not both</w:t>
      </w:r>
    </w:p>
    <w:p>
      <w:pPr>
        <w:numPr>
          <w:ilvl w:val="0"/>
          <w:numId w:val="1002"/>
        </w:numPr>
        <w:pStyle w:val="Compact"/>
      </w:pPr>
      <w:r>
        <w:t xml:space="preserve">No interaction between random effects on intercept and covariates, i.e. </w:t>
      </w:r>
      <m:oMath>
        <m:sSub>
          <m:e>
            <m:r>
              <m:rPr>
                <m:sty m:val="b"/>
              </m:rPr>
              <m:t>u</m:t>
            </m:r>
          </m:e>
          <m:sub>
            <m:r>
              <m:t>j</m:t>
            </m:r>
            <m:r>
              <m:rPr>
                <m:sty m:val="p"/>
              </m:rPr>
              <m:t>,</m:t>
            </m:r>
            <m:r>
              <m:t>0</m:t>
            </m:r>
          </m:sub>
        </m:sSub>
        <m:sSub>
          <m:e>
            <m:r>
              <m:rPr>
                <m:sty m:val="b"/>
              </m:rPr>
              <m:t>X</m:t>
            </m:r>
          </m:e>
          <m:sub>
            <m:r>
              <m:t>i</m:t>
            </m:r>
            <m:r>
              <m:t>j</m:t>
            </m:r>
          </m:sub>
        </m:sSub>
        <m:r>
          <m:rPr>
            <m:sty m:val="p"/>
          </m:rPr>
          <m:t>=</m:t>
        </m:r>
        <m:sSub>
          <m:e>
            <m:r>
              <m:t>u</m:t>
            </m:r>
          </m:e>
          <m:sub>
            <m:r>
              <m:t>j</m:t>
            </m:r>
            <m:r>
              <m:rPr>
                <m:sty m:val="p"/>
              </m:rPr>
              <m:t>,</m:t>
            </m:r>
            <m:r>
              <m:t>0</m:t>
            </m:r>
          </m:sub>
        </m:sSub>
      </m:oMath>
      <w:r>
        <w:t xml:space="preserve"> </w:t>
      </w:r>
      <w:r>
        <w:t xml:space="preserve">and</w:t>
      </w:r>
      <w:r>
        <w:t xml:space="preserve"> </w:t>
      </w:r>
      <m:oMath>
        <m:sSub>
          <m:e>
            <m:r>
              <m:rPr>
                <m:sty m:val="b"/>
              </m:rPr>
              <m:t>u</m:t>
            </m:r>
          </m:e>
          <m:sub>
            <m:r>
              <m:t>j</m:t>
            </m:r>
            <m:r>
              <m:rPr>
                <m:sty m:val="p"/>
              </m:rPr>
              <m:t>,</m:t>
            </m:r>
            <m:r>
              <m:t>0</m:t>
            </m:r>
          </m:sub>
        </m:sSub>
        <m:sSub>
          <m:e>
            <m:r>
              <m:rPr>
                <m:sty m:val="b"/>
              </m:rPr>
              <m:t>X</m:t>
            </m:r>
          </m:e>
          <m:sub>
            <m:r>
              <m:t>i</m:t>
            </m:r>
            <m:r>
              <m:t>j</m:t>
            </m:r>
          </m:sub>
        </m:sSub>
        <m:r>
          <m:rPr>
            <m:sty m:val="p"/>
          </m:rPr>
          <m:t>=</m:t>
        </m:r>
        <m:sSub>
          <m:e>
            <m:r>
              <m:t>u</m:t>
            </m:r>
          </m:e>
          <m:sub>
            <m:r>
              <m:t>j</m:t>
            </m:r>
            <m:r>
              <m:rPr>
                <m:sty m:val="p"/>
              </m:rPr>
              <m:t>,</m:t>
            </m:r>
            <m:r>
              <m:t>0</m:t>
            </m:r>
          </m:sub>
        </m:sSub>
      </m:oMath>
      <w:r>
        <w:t xml:space="preserve">, or with the additional constraint of no random effects on slope, i.e. </w:t>
      </w:r>
      <m:oMath>
        <m:sSub>
          <m:e>
            <m:r>
              <m:t>u</m:t>
            </m:r>
          </m:e>
          <m:sub>
            <m:r>
              <m:t>j</m:t>
            </m:r>
            <m:r>
              <m:rPr>
                <m:sty m:val="p"/>
              </m:rPr>
              <m:t>,</m:t>
            </m:r>
            <m:r>
              <m:t>1</m:t>
            </m:r>
          </m:sub>
        </m:sSub>
        <m:r>
          <m:rPr>
            <m:sty m:val="p"/>
          </m:rPr>
          <m:t>=</m:t>
        </m:r>
        <m:sSub>
          <m:e>
            <m:r>
              <m:t>v</m:t>
            </m:r>
          </m:e>
          <m:sub>
            <m:r>
              <m:t>j</m:t>
            </m:r>
            <m:r>
              <m:rPr>
                <m:sty m:val="p"/>
              </m:rPr>
              <m:t>,</m:t>
            </m:r>
            <m:r>
              <m:t>1</m:t>
            </m:r>
          </m:sub>
        </m:sSub>
        <m:r>
          <m:rPr>
            <m:sty m:val="p"/>
          </m:rPr>
          <m:t>=</m:t>
        </m:r>
        <m:r>
          <m:t>0</m:t>
        </m:r>
      </m:oMath>
      <w:r>
        <w:t xml:space="preserve">.</w:t>
      </w:r>
    </w:p>
    <w:p>
      <w:pPr>
        <w:pStyle w:val="FirstParagraph"/>
      </w:pPr>
      <w:r>
        <w:t xml:space="preserve">For each model and each stratum, we selected the best-fit model based on the Bayesian Information Criterion (BIC). For example in for Model 1,</w:t>
      </w:r>
      <w:r>
        <w:t xml:space="preserve"> </w:t>
      </w:r>
      <m:oMath>
        <m:sSub>
          <m:e>
            <m:r>
              <m:t>E</m:t>
            </m:r>
          </m:e>
          <m:sub>
            <m:r>
              <m:t>S</m:t>
            </m:r>
          </m:sub>
        </m:sSub>
      </m:oMath>
      <w:r>
        <w:t xml:space="preserve"> </w:t>
      </w:r>
      <w:r>
        <w:t xml:space="preserve">and</w:t>
      </w:r>
      <w:r>
        <w:t xml:space="preserve"> </w:t>
      </w:r>
      <m:oMath>
        <m:sSub>
          <m:e>
            <m:r>
              <m:t>E</m:t>
            </m:r>
          </m:e>
          <m:sub>
            <m:r>
              <m:t>D</m:t>
            </m:r>
          </m:sub>
        </m:sSub>
      </m:oMath>
      <w:r>
        <w:t xml:space="preserve"> </w:t>
      </w:r>
      <w:r>
        <w:t xml:space="preserve">were fit with the full model, whereas for</w:t>
      </w:r>
      <w:r>
        <w:t xml:space="preserve"> </w:t>
      </w:r>
      <m:oMath>
        <m:sSub>
          <m:e>
            <m:r>
              <m:t>E</m:t>
            </m:r>
          </m:e>
          <m:sub>
            <m:r>
              <m:t>M</m:t>
            </m:r>
          </m:sub>
        </m:sSub>
      </m:oMath>
      <w:r>
        <w:t xml:space="preserve"> </w:t>
      </w:r>
      <w:r>
        <w:t xml:space="preserve">we set</w:t>
      </w:r>
      <w:r>
        <w:t xml:space="preserve"> </w:t>
      </w:r>
      <m:oMath>
        <m:sSub>
          <m:e>
            <m:r>
              <m:rPr>
                <m:sty m:val="b"/>
              </m:rPr>
              <m:t>u</m:t>
            </m:r>
          </m:e>
          <m:sub>
            <m:r>
              <m:t>j</m:t>
            </m:r>
            <m:r>
              <m:rPr>
                <m:sty m:val="p"/>
              </m:rPr>
              <m:t>,</m:t>
            </m:r>
            <m:r>
              <m:t>0</m:t>
            </m:r>
          </m:sub>
        </m:sSub>
        <m:sSub>
          <m:e>
            <m:r>
              <m:rPr>
                <m:sty m:val="b"/>
              </m:rPr>
              <m:t>X</m:t>
            </m:r>
          </m:e>
          <m:sub>
            <m:r>
              <m:t>i</m:t>
            </m:r>
            <m:r>
              <m:t>j</m:t>
            </m:r>
          </m:sub>
        </m:sSub>
        <m:r>
          <m:rPr>
            <m:sty m:val="p"/>
          </m:rPr>
          <m:t>=</m:t>
        </m:r>
        <m:sSub>
          <m:e>
            <m:r>
              <m:t>u</m:t>
            </m:r>
          </m:e>
          <m:sub>
            <m:r>
              <m:t>j</m:t>
            </m:r>
            <m:r>
              <m:rPr>
                <m:sty m:val="p"/>
              </m:rPr>
              <m:t>,</m:t>
            </m:r>
            <m:r>
              <m:t>0</m:t>
            </m:r>
          </m:sub>
        </m:sSub>
      </m:oMath>
      <w:r>
        <w:t xml:space="preserve"> </w:t>
      </w:r>
      <w:r>
        <w:t xml:space="preserve">and</w:t>
      </w:r>
      <w:r>
        <w:t xml:space="preserve"> </w:t>
      </w:r>
      <m:oMath>
        <m:sSub>
          <m:e>
            <m:r>
              <m:rPr>
                <m:sty m:val="b"/>
              </m:rPr>
              <m:t>u</m:t>
            </m:r>
          </m:e>
          <m:sub>
            <m:r>
              <m:t>j</m:t>
            </m:r>
            <m:r>
              <m:rPr>
                <m:sty m:val="p"/>
              </m:rPr>
              <m:t>,</m:t>
            </m:r>
            <m:r>
              <m:t>0</m:t>
            </m:r>
          </m:sub>
        </m:sSub>
        <m:sSub>
          <m:e>
            <m:r>
              <m:rPr>
                <m:sty m:val="b"/>
              </m:rPr>
              <m:t>X</m:t>
            </m:r>
          </m:e>
          <m:sub>
            <m:r>
              <m:t>i</m:t>
            </m:r>
            <m:r>
              <m:t>j</m:t>
            </m:r>
          </m:sub>
        </m:sSub>
        <m:r>
          <m:rPr>
            <m:sty m:val="p"/>
          </m:rPr>
          <m:t>=</m:t>
        </m:r>
        <m:sSub>
          <m:e>
            <m:r>
              <m:t>u</m:t>
            </m:r>
          </m:e>
          <m:sub>
            <m:r>
              <m:t>j</m:t>
            </m:r>
            <m:r>
              <m:rPr>
                <m:sty m:val="p"/>
              </m:rPr>
              <m:t>,</m:t>
            </m:r>
            <m:r>
              <m:t>0</m:t>
            </m:r>
          </m:sub>
        </m:sSub>
      </m:oMath>
      <w:r>
        <w:t xml:space="preserve"> </w:t>
      </w:r>
      <w:r>
        <w:t xml:space="preserve">as it</w:t>
      </w:r>
      <w:r>
        <w:t xml:space="preserve"> </w:t>
      </w:r>
      <w:r>
        <w:t xml:space="preserve">improved BIC. Significance of the impact of covariates and time since immune conferring event on outcome were calculated via two-sided t-test. All models were implemented in R version 4.2.1 (2022-06-23 ucrt) using the metafor package. Results of all models are given in Supplementary Tables S4-S22.</w:t>
      </w:r>
    </w:p>
    <w:p>
      <w:pPr>
        <w:pStyle w:val="TableCaption"/>
      </w:pPr>
      <w:bookmarkStart w:id="37" w:name="tab:Model-Table"/>
      <w:bookmarkEnd w:id="37"/>
      <w:r>
        <w:t xml:space="preserve">Table 2:</w:t>
      </w:r>
      <w:r>
        <w:t xml:space="preserve"> </w:t>
      </w:r>
      <w:r>
        <w:t xml:space="preserve">Meta-regression model structure and purpose. Numbers in parentheses indicate the number of studies and estimates used in each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2520"/>
        <w:gridCol w:w="3600"/>
        <w:gridCol w:w="144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Purpose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Covariates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Subset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Evaluate impact of infecting strain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 (Omicron vs pre-Omicron)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or more mRNA Vaccine Doses (114, 1621)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Evaluate impact of booster doses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doses (3+ vs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 and 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prior infection (111, 1524)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Compare durability of natural and vaccine derived immunity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immunity (Primary vaccination, Prior Infection, or Primary vaccination + Prior Infection)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 and 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or fewer mRNA Vaccine Doses (i.e. no booster doses) (109, 945)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Evaluate impact of prior infecting strain on durability of natural immunity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immunity (Primary vaccination, Prior Infection pre-Omicron, Prior Infection with Omicron, Primary vaccination + Prior Infection pre-Omicron, or Primary vaccination + Prior Infection with Omicron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or fewer mRNA Vaccine Doses (i.e. no booster doses) (40, 243)</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Evaluate impact of natural immunity on individuals with booster doses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Infection (None vs Any)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 and Strain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Three or more mRNA Vaccine Doses (25, 177)</w:t>
            </w:r>
          </w:p>
        </w:tc>
      </w:tr>
    </w:tbl>
    <w:p>
      <w:r>
        <w:br w:type="page"/>
      </w:r>
    </w:p>
    <w:bookmarkEnd w:id="38"/>
    <w:bookmarkEnd w:id="39"/>
    <w:bookmarkStart w:id="68" w:name="results"/>
    <w:p>
      <w:pPr>
        <w:pStyle w:val="Heading2"/>
      </w:pPr>
      <w:r>
        <w:t xml:space="preserve">Results</w:t>
      </w:r>
    </w:p>
    <w:bookmarkStart w:id="45" w:name="X6c6f237b9cee1353af8b9d2648b277cf3591e41"/>
    <w:p>
      <w:pPr>
        <w:pStyle w:val="Heading3"/>
      </w:pPr>
      <w:r>
        <w:t xml:space="preserve">Vaccine protection against infection and symptomatic disease, but not severe disease, were much lower against the Omicron variants</w:t>
      </w:r>
    </w:p>
    <w:p>
      <w:pPr>
        <w:pStyle w:val="FirstParagraph"/>
      </w:pPr>
      <w:r>
        <w:t xml:space="preserve">We found a consensus in the literature that vaccine efficacy against infection, symptomatic disease, and severe disease wanes over time both due to an increase in time since the most recent vaccine dose and due to the replacement of the circulating strain by the Omicron strain or its subvariants. The magnitude of the loss of this immunity varied by type of protection and the dominant circulating strain at the time of vaccination (Figure</w:t>
      </w:r>
      <w:r>
        <w:t xml:space="preserve"> </w:t>
      </w:r>
      <w:r>
        <w:t xml:space="preserve">2</w:t>
      </w:r>
      <w:r>
        <w:t xml:space="preserve">). For each of the vaccine effectiveness measures (</w:t>
      </w:r>
      <m:oMath>
        <m:sSub>
          <m:e>
            <m:r>
              <m:t>E</m:t>
            </m:r>
          </m:e>
          <m:sub>
            <m:r>
              <m:t>S</m:t>
            </m:r>
          </m:sub>
        </m:sSub>
      </m:oMath>
      <w:r>
        <w:t xml:space="preserve">,</w:t>
      </w:r>
      <w:r>
        <w:t xml:space="preserve"> </w:t>
      </w:r>
      <m:oMath>
        <m:sSub>
          <m:e>
            <m:r>
              <m:t>E</m:t>
            </m:r>
          </m:e>
          <m:sub>
            <m:r>
              <m:t>D</m:t>
            </m:r>
          </m:sub>
        </m:sSub>
      </m:oMath>
      <w:r>
        <w:t xml:space="preserve">, and</w:t>
      </w:r>
      <w:r>
        <w:t xml:space="preserve"> </w:t>
      </w:r>
      <m:oMath>
        <m:sSub>
          <m:e>
            <m:r>
              <m:t>E</m:t>
            </m:r>
          </m:e>
          <m:sub>
            <m:r>
              <m:t>M</m:t>
            </m:r>
          </m:sub>
        </m:sSub>
      </m:oMath>
      <w:r>
        <w:t xml:space="preserve">), the predicted values for protection two weeks after completion of the primary series was lower for Omicron than for pre-Omicron variants (Table</w:t>
      </w:r>
      <w:r>
        <w:t xml:space="preserve"> </w:t>
      </w:r>
      <w:r>
        <w:t xml:space="preserve">3</w:t>
      </w:r>
      <w:r>
        <w:t xml:space="preserve">). Initial vaccine protection against infection (</w:t>
      </w:r>
      <m:oMath>
        <m:sSub>
          <m:e>
            <m:r>
              <m:t>E</m:t>
            </m:r>
          </m:e>
          <m:sub>
            <m:r>
              <m:t>S</m:t>
            </m:r>
          </m:sub>
        </m:sSub>
      </m:oMath>
      <w:r>
        <w:t xml:space="preserve">, Figure</w:t>
      </w:r>
      <w:r>
        <w:t xml:space="preserve"> </w:t>
      </w:r>
      <w:r>
        <w:t xml:space="preserve">2</w:t>
      </w:r>
      <w:r>
        <w:t xml:space="preserve">A) against pre-Omicron variants was 83·5 (81·2 - 85·8) compared to 50·3 (43·8 - 56·7) against Omicron variants. After thirty weeks,</w:t>
      </w:r>
      <w:r>
        <w:t xml:space="preserve"> </w:t>
      </w:r>
      <m:oMath>
        <m:sSub>
          <m:e>
            <m:r>
              <m:t>E</m:t>
            </m:r>
          </m:e>
          <m:sub>
            <m:r>
              <m:t>S</m:t>
            </m:r>
          </m:sub>
        </m:sSub>
      </m:oMath>
      <w:r>
        <w:t xml:space="preserve"> </w:t>
      </w:r>
      <w:r>
        <w:t xml:space="preserve">decreased to 50·7 (41·9 - 59·5) and -8·7 (-25·6 - 8·3), against pre-Omicron and Omicron variants, respectively. Estimates of protection against symptomatic disease (</w:t>
      </w:r>
      <m:oMath>
        <m:sSub>
          <m:e>
            <m:r>
              <m:t>E</m:t>
            </m:r>
          </m:e>
          <m:sub>
            <m:r>
              <m:t>D</m:t>
            </m:r>
          </m:sub>
        </m:sSub>
      </m:oMath>
      <w:r>
        <w:t xml:space="preserve">, Figure</w:t>
      </w:r>
      <w:r>
        <w:t xml:space="preserve"> </w:t>
      </w:r>
      <w:r>
        <w:t xml:space="preserve">2</w:t>
      </w:r>
      <w:r>
        <w:t xml:space="preserve">B) were quite similar: at two weeks post-second dose it was 87·0 (84·0 - 90·1) and 60·6 (54·2 - 67·0) against pre-Omicron and Omicron variants respectively and after thirty weeks was 54·3 (42·8 - 65·8) and 2·6 (-10·5 - 15·6) against pre-Omicron and Omicron variants, respectively.</w:t>
      </w:r>
    </w:p>
    <w:p>
      <w:pPr>
        <w:pStyle w:val="BodyText"/>
      </w:pPr>
      <w:r>
        <w:t xml:space="preserve">Vaccine protection against severe outcomes (</w:t>
      </w:r>
      <m:oMath>
        <m:sSub>
          <m:e>
            <m:r>
              <m:t>E</m:t>
            </m:r>
          </m:e>
          <m:sub>
            <m:r>
              <m:t>M</m:t>
            </m:r>
          </m:sub>
        </m:sSub>
      </m:oMath>
      <w:r>
        <w:t xml:space="preserve">, Figure</w:t>
      </w:r>
      <w:r>
        <w:t xml:space="preserve"> </w:t>
      </w:r>
      <w:r>
        <w:t xml:space="preserve">2</w:t>
      </w:r>
      <w:r>
        <w:t xml:space="preserve">C) was both more durable over time and robust to the immune evasion of omicron. At two weeks post vaccination</w:t>
      </w:r>
      <w:r>
        <w:t xml:space="preserve"> </w:t>
      </w:r>
      <m:oMath>
        <m:sSub>
          <m:e>
            <m:r>
              <m:t>E</m:t>
            </m:r>
          </m:e>
          <m:sub>
            <m:r>
              <m:t>M</m:t>
            </m:r>
          </m:sub>
        </m:sSub>
      </m:oMath>
      <w:r>
        <w:t xml:space="preserve"> </w:t>
      </w:r>
      <w:r>
        <w:t xml:space="preserve">was 92·0 (89·9 - 94·0) against pre-Omicron variants and 86·0 (83·3 - 88·6) against Omicron variants. After 30 weeks,</w:t>
      </w:r>
      <w:r>
        <w:t xml:space="preserve"> </w:t>
      </w:r>
      <m:oMath>
        <m:sSub>
          <m:e>
            <m:r>
              <m:t>E</m:t>
            </m:r>
          </m:e>
          <m:sub>
            <m:r>
              <m:t>M</m:t>
            </m:r>
          </m:sub>
        </m:sSub>
      </m:oMath>
      <w:r>
        <w:t xml:space="preserve"> </w:t>
      </w:r>
      <w:r>
        <w:t xml:space="preserve">decreased to 82·0 (78·0 - 86·1) and 67·8 (62·2 - 73·4) against pre-Omicron and Omicron variants, respectively.</w:t>
      </w:r>
    </w:p>
    <w:p>
      <w:pPr>
        <w:pStyle w:val="CaptionedFigure"/>
      </w:pPr>
      <w:r>
        <w:drawing>
          <wp:inline>
            <wp:extent cx="5334000" cy="4000500"/>
            <wp:effectExtent b="0" l="0" r="0" t="0"/>
            <wp:docPr descr="Figure 2: Protection against infection, symptomatic disease, and severe disease by infecting strain and time since most recent vaccination relative to an immune-naive population." title="" id="41" name="Picture"/>
            <a:graphic>
              <a:graphicData uri="http://schemas.openxmlformats.org/drawingml/2006/picture">
                <pic:pic>
                  <pic:nvPicPr>
                    <pic:cNvPr descr="Waning_Review_files/figure-docx/Strain-Figure-1.png" id="42"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43" w:name="fig:Strain-Figure"/>
      <w:bookmarkEnd w:id="43"/>
      <w:r>
        <w:t xml:space="preserve">Figure 2: Protection against infection, symptomatic disease, and severe disease by infecting strain and time since most recent vaccination relative to an immune-naive population.</w:t>
      </w:r>
    </w:p>
    <w:p>
      <w:r>
        <w:br w:type="page"/>
      </w:r>
    </w:p>
    <w:p>
      <w:pPr>
        <w:pStyle w:val="TableCaption"/>
      </w:pPr>
      <w:bookmarkStart w:id="44" w:name="tab:Strain-Table"/>
      <w:bookmarkEnd w:id="44"/>
      <w:r>
        <w:t xml:space="preserve">Table 3:</w:t>
      </w:r>
      <w:r>
        <w:t xml:space="preserve"> </w:t>
      </w:r>
      <w:r>
        <w:t xml:space="preserve">Unadjusted estimates of vaccine efficacy by strain at two and thirty weeks since most recent dose and the change over that time frame with 95% confidence intervals. Analysis was stratified by clinical outcome. Significance of the impact of strain replacement and of time since vaccination was evaluated with a two-sided t-test. Listed p-values indicate the significance of the strain replacement. Significance of the change over time is indicated by *(p&lt;.05), **(p&lt;.01), and ***(p&lt;.001).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82"/>
        <w:gridCol w:w="1658"/>
        <w:gridCol w:w="2135"/>
        <w:gridCol w:w="2184"/>
        <w:gridCol w:w="239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(Week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Waned (Week 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Change</w:t>
            </w:r>
          </w:p>
        </w:tc>
      </w:tr>
      <w:tr>
        <w:trPr>
          <w:trHeight w:val="617" w:hRule="auto"/>
        </w:trPr>
        body1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Infection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Pre-Omicron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83·5 (81·2 - 85·8)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 (41·9 - 59·5)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 (24·2 - 41·5)***</w:t>
            </w:r>
          </w:p>
        </w:tc>
      </w:tr>
      <w:tr>
        <w:trPr>
          <w:trHeight w:val="617" w:hRule="auto"/>
        </w:trPr>
        body2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Omicron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50·3 (43·8 - 56·7)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 (-25·6 - 8·3)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 (42·5 - 75·4)***</w:t>
            </w:r>
          </w:p>
        </w:tc>
      </w:tr>
      <w:tr>
        <w:trPr>
          <w:trHeight w:val="612" w:hRule="auto"/>
        </w:trPr>
        body3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r>
      <w:tr>
        <w:trPr>
          <w:trHeight w:val="777" w:hRule="auto"/>
        </w:trPr>
        body4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Disease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 (84·0 - 90·1)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54·3 (42·8 - 65·8)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 (21·7 - 43·8)***</w:t>
            </w:r>
          </w:p>
        </w:tc>
      </w:tr>
      <w:tr>
        <w:trPr>
          <w:trHeight w:val="777" w:hRule="auto"/>
        </w:trPr>
        body5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Omicron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 (54·2 - 67·0)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 (-10·5 - 15·6)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 (44·4 - 71·6)***</w:t>
            </w:r>
          </w:p>
        </w:tc>
      </w:tr>
      <w:tr>
        <w:trPr>
          <w:trHeight w:val="777" w:hRule="auto"/>
        </w:trPr>
        body6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0·00071</w:t>
            </w:r>
          </w:p>
        </w:tc>
      </w:tr>
      <w:tr>
        <w:trPr>
          <w:trHeight w:val="734" w:hRule="auto"/>
        </w:trPr>
        body7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Severe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Disease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 (89·9 - 94·0)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 (78·0 - 86·1)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 (6·6 - 13·3)***</w:t>
            </w:r>
          </w:p>
        </w:tc>
      </w:tr>
      <w:tr>
        <w:trPr>
          <w:trHeight w:val="734" w:hRule="auto"/>
        </w:trPr>
        body8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Omicron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86·0 (83·3 - 88·6)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 (62·2 - 73·4)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 (12·9 - 23·4)***</w:t>
            </w:r>
          </w:p>
        </w:tc>
      </w:tr>
      <w:tr>
        <w:trPr>
          <w:trHeight w:val="734" w:hRule="auto"/>
        </w:trPr>
        body9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0·0072</w:t>
            </w:r>
          </w:p>
        </w:tc>
      </w:tr>
    </w:tbl>
    <w:bookmarkEnd w:id="45"/>
    <w:bookmarkStart w:id="51" w:name="X79676085f654aaca7da090dbb8909b72e7d7ef0"/>
    <w:p>
      <w:pPr>
        <w:pStyle w:val="Heading3"/>
      </w:pPr>
      <w:r>
        <w:t xml:space="preserve">Booster doses provide longer-lasting protection against pre-Omicron variants but not Omicron variants</w:t>
      </w:r>
    </w:p>
    <w:p>
      <w:pPr>
        <w:pStyle w:val="FirstParagraph"/>
      </w:pPr>
      <w:r>
        <w:t xml:space="preserve">Booster doses of mRNA vaccines restored</w:t>
      </w:r>
      <w:r>
        <w:t xml:space="preserve"> </w:t>
      </w:r>
      <m:oMath>
        <m:sSub>
          <m:e>
            <m:r>
              <m:t>E</m:t>
            </m:r>
          </m:e>
          <m:sub>
            <m:r>
              <m:t>S</m:t>
            </m:r>
          </m:sub>
        </m:sSub>
      </m:oMath>
      <w:r>
        <w:t xml:space="preserve">,</w:t>
      </w:r>
      <w:r>
        <w:t xml:space="preserve"> </w:t>
      </w:r>
      <m:oMath>
        <m:sSub>
          <m:e>
            <m:r>
              <m:t>E</m:t>
            </m:r>
          </m:e>
          <m:sub>
            <m:r>
              <m:t>D</m:t>
            </m:r>
          </m:sub>
        </m:sSub>
      </m:oMath>
      <w:r>
        <w:t xml:space="preserve">, and</w:t>
      </w:r>
      <w:r>
        <w:t xml:space="preserve"> </w:t>
      </w:r>
      <m:oMath>
        <m:sSub>
          <m:e>
            <m:r>
              <m:t>E</m:t>
            </m:r>
          </m:e>
          <m:sub>
            <m:r>
              <m:t>M</m:t>
            </m:r>
          </m:sub>
        </m:sSub>
      </m:oMath>
      <w:r>
        <w:t xml:space="preserve"> </w:t>
      </w:r>
      <w:r>
        <w:t xml:space="preserve">against pre-Omicron variants to similar levels as following primary vaccination (Figure</w:t>
      </w:r>
      <w:r>
        <w:t xml:space="preserve"> </w:t>
      </w:r>
      <w:r>
        <w:t xml:space="preserve">3</w:t>
      </w:r>
      <w:r>
        <w:t xml:space="preserve">A-C and Table</w:t>
      </w:r>
      <w:r>
        <w:t xml:space="preserve"> </w:t>
      </w:r>
      <w:r>
        <w:t xml:space="preserve">4</w:t>
      </w:r>
      <w:r>
        <w:t xml:space="preserve">).</w:t>
      </w:r>
      <w:r>
        <w:t xml:space="preserve"> </w:t>
      </w:r>
      <m:oMath>
        <m:sSub>
          <m:e>
            <m:r>
              <m:t>E</m:t>
            </m:r>
          </m:e>
          <m:sub>
            <m:r>
              <m:t>D</m:t>
            </m:r>
          </m:sub>
        </m:sSub>
      </m:oMath>
      <w:r>
        <w:t xml:space="preserve"> </w:t>
      </w:r>
      <w:r>
        <w:t xml:space="preserve">against pre-Omicron strains was more durable following booster doses than primary vaccination. Between two weeks and thirty week post-booster dose, protection dropped by only 13·0 (-1·0 - 27·0) percentage points compared to 37·1 (26·4 - 47·8)*** percentage points following primary series alone (p = 0·00024) (Figure</w:t>
      </w:r>
      <w:r>
        <w:t xml:space="preserve"> </w:t>
      </w:r>
      <w:r>
        <w:t xml:space="preserve">3</w:t>
      </w:r>
      <w:r>
        <w:t xml:space="preserve">B). A similar trend was observed for</w:t>
      </w:r>
      <w:r>
        <w:t xml:space="preserve"> </w:t>
      </w:r>
      <m:oMath>
        <m:sSub>
          <m:e>
            <m:r>
              <m:t>E</m:t>
            </m:r>
          </m:e>
          <m:sub>
            <m:r>
              <m:t>S</m:t>
            </m:r>
          </m:sub>
        </m:sSub>
      </m:oMath>
      <w:r>
        <w:t xml:space="preserve"> </w:t>
      </w:r>
      <w:r>
        <w:t xml:space="preserve">but the effect was not significant (Figure</w:t>
      </w:r>
      <w:r>
        <w:t xml:space="preserve"> </w:t>
      </w:r>
      <w:r>
        <w:t xml:space="preserve">3</w:t>
      </w:r>
      <w:r>
        <w:t xml:space="preserve">A).</w:t>
      </w:r>
    </w:p>
    <w:p>
      <w:pPr>
        <w:pStyle w:val="BodyText"/>
      </w:pPr>
      <w:r>
        <w:t xml:space="preserve">Booster doses provided better initial protection against Omicron variants than primary vaccination alone (Figure</w:t>
      </w:r>
      <w:r>
        <w:t xml:space="preserve"> </w:t>
      </w:r>
      <w:r>
        <w:t xml:space="preserve">3</w:t>
      </w:r>
      <w:r>
        <w:t xml:space="preserve">D-F).</w:t>
      </w:r>
      <w:r>
        <w:t xml:space="preserve"> </w:t>
      </w:r>
      <w:r>
        <w:t xml:space="preserve">For each outcome, protection was greater following booster doses than primary vaccination at two weeks after the last dose:</w:t>
      </w:r>
      <w:r>
        <w:t xml:space="preserve"> </w:t>
      </w:r>
      <m:oMath>
        <m:sSub>
          <m:e>
            <m:r>
              <m:t>E</m:t>
            </m:r>
          </m:e>
          <m:sub>
            <m:r>
              <m:t>S</m:t>
            </m:r>
          </m:sub>
        </m:sSub>
      </m:oMath>
      <w:r>
        <w:t xml:space="preserve"> </w:t>
      </w:r>
      <w:r>
        <w:t xml:space="preserve">was 58·2 (50·5 - 66·0) following a booster vs</w:t>
      </w:r>
      <w:r>
        <w:t xml:space="preserve"> </w:t>
      </w:r>
      <w:r>
        <w:t xml:space="preserve">39·2 (31·8 - 46·6) following primary vaccination ,</w:t>
      </w:r>
      <w:r>
        <w:t xml:space="preserve"> </w:t>
      </w:r>
      <m:oMath>
        <m:sSub>
          <m:e>
            <m:r>
              <m:t>E</m:t>
            </m:r>
          </m:e>
          <m:sub>
            <m:r>
              <m:t>D</m:t>
            </m:r>
          </m:sub>
        </m:sSub>
      </m:oMath>
      <w:r>
        <w:t xml:space="preserve"> </w:t>
      </w:r>
      <w:r>
        <w:t xml:space="preserve">was 59·8 (56·9 - 62·8) vs</w:t>
      </w:r>
      <w:r>
        <w:t xml:space="preserve"> </w:t>
      </w:r>
      <w:r>
        <w:t xml:space="preserve">47·2 (41·0 - 53·4), and</w:t>
      </w:r>
      <w:r>
        <w:t xml:space="preserve"> </w:t>
      </w:r>
      <m:oMath>
        <m:sSub>
          <m:e>
            <m:r>
              <m:t>E</m:t>
            </m:r>
          </m:e>
          <m:sub>
            <m:r>
              <m:t>M</m:t>
            </m:r>
          </m:sub>
        </m:sSub>
      </m:oMath>
      <w:r>
        <w:t xml:space="preserve"> </w:t>
      </w:r>
      <w:r>
        <w:t xml:space="preserve">was 90·0 (86·2 - 93·8) vs</w:t>
      </w:r>
      <w:r>
        <w:t xml:space="preserve"> </w:t>
      </w:r>
      <w:r>
        <w:t xml:space="preserve">76·0 (71·8 - 80·2). By thirty weeks post-boosting</w:t>
      </w:r>
      <w:r>
        <w:t xml:space="preserve"> </w:t>
      </w:r>
      <m:oMath>
        <m:sSub>
          <m:e>
            <m:r>
              <m:t>E</m:t>
            </m:r>
          </m:e>
          <m:sub>
            <m:r>
              <m:t>S</m:t>
            </m:r>
          </m:sub>
        </m:sSub>
      </m:oMath>
      <w:r>
        <w:t xml:space="preserve"> </w:t>
      </w:r>
      <w:r>
        <w:t xml:space="preserve">and</w:t>
      </w:r>
      <w:r>
        <w:t xml:space="preserve"> </w:t>
      </w:r>
      <m:oMath>
        <m:sSub>
          <m:e>
            <m:r>
              <m:t>E</m:t>
            </m:r>
          </m:e>
          <m:sub>
            <m:r>
              <m:t>D</m:t>
            </m:r>
          </m:sub>
        </m:sSub>
      </m:oMath>
      <w:r>
        <w:t xml:space="preserve"> </w:t>
      </w:r>
      <w:r>
        <w:t xml:space="preserve">had declined substantially to 3·0 (-26·5 - 32·5) and 8·6 (-9·0 - 26·2), respectively. Both these boosting efficacies were greater but not significantly than the corresponding efficacies following primary vaccination alone.</w:t>
      </w:r>
      <w:r>
        <w:t xml:space="preserve"> </w:t>
      </w:r>
      <m:oMath>
        <m:sSub>
          <m:e>
            <m:r>
              <m:t>E</m:t>
            </m:r>
          </m:e>
          <m:sub>
            <m:r>
              <m:t>M</m:t>
            </m:r>
          </m:sub>
        </m:sSub>
      </m:oMath>
      <w:r>
        <w:t xml:space="preserve"> </w:t>
      </w:r>
      <w:r>
        <w:t xml:space="preserve">also declined after thirty weeks but remained high at 73·4 (64·4 - 82·4), similar to the protection following primary vaccination 67·3 (58·4 - 76·1).</w:t>
      </w:r>
    </w:p>
    <w:p>
      <w:pPr>
        <w:pStyle w:val="CaptionedFigure"/>
      </w:pPr>
      <w:r>
        <w:drawing>
          <wp:inline>
            <wp:extent cx="5334000" cy="3111500"/>
            <wp:effectExtent b="0" l="0" r="0" t="0"/>
            <wp:docPr descr="Figure 3: Protection against infection, symptomatic disease, and severe disease by booster status and time since most recent vaccination relative to an immune-naive population. Top and bottom rows show protection against pre-Omicron and Omicron variants, respectively." title="" id="47" name="Picture"/>
            <a:graphic>
              <a:graphicData uri="http://schemas.openxmlformats.org/drawingml/2006/picture">
                <pic:pic>
                  <pic:nvPicPr>
                    <pic:cNvPr descr="Waning_Review_files/figure-docx/Booster-Figure-1.png" id="48" name="Picture"/>
                    <pic:cNvPicPr>
                      <a:picLocks noChangeArrowheads="1" noChangeAspect="1"/>
                    </pic:cNvPicPr>
                  </pic:nvPicPr>
                  <pic:blipFill>
                    <a:blip r:embed="rId4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49" w:name="fig:Booster-Figure"/>
      <w:bookmarkEnd w:id="49"/>
      <w:r>
        <w:t xml:space="preserve">Figure 3: Protection against infection, symptomatic disease, and severe disease by booster status and time since most recent vaccination relative to an immune-naive population. Top and bottom rows show protection against pre-Omicron and Omicron variants, respectively.</w:t>
      </w:r>
    </w:p>
    <w:p>
      <w:r>
        <w:br w:type="page"/>
      </w:r>
    </w:p>
    <w:p>
      <w:pPr>
        <w:pStyle w:val="TableCaption"/>
      </w:pPr>
      <w:bookmarkStart w:id="50" w:name="tab:Booster-Table"/>
      <w:bookmarkEnd w:id="50"/>
      <w:r>
        <w:t xml:space="preserve">Table 4:</w:t>
      </w:r>
      <w:r>
        <w:t xml:space="preserve"> </w:t>
      </w:r>
      <w:r>
        <w:t xml:space="preserve">Unadjusted estimates of vaccine efficacy by booster status at two and thirty weeks since most recent dose and the change over that time frame with 95% confidence intervals. Analysis was stratified by clinical outcome and infecting strain. Significance of the impact of strain replacement and of time since vaccination was evaluated with a two-sided t-test. Listed p-values indicate the significance of the strain replacement. Significance of the change over time is indicated by *(p&lt;.05), **(p&lt;.01), and ***(p&lt;.001).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3"/>
        <w:gridCol w:w="1400"/>
        <w:gridCol w:w="1873"/>
        <w:gridCol w:w="1834"/>
        <w:gridCol w:w="1945"/>
        <w:gridCol w:w="2179"/>
      </w:tblGrid>
      <w:tr>
        <w:trPr>
          <w:trHeight w:val="45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Dose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Initial (Week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Waned (Week 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Change</w:t>
            </w:r>
          </w:p>
        </w:tc>
      </w:tr>
      <w:tr>
        <w:trPr>
          <w:trHeight w:val="454" w:hRule="auto"/>
        </w:trPr>
        body 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Infection</w:t>
            </w:r>
          </w:p>
        </w:tc>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83·1 (80·8 - 85·4)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 (36·9 - 54·8)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 (28·5 - 45·9)***</w:t>
            </w:r>
          </w:p>
        </w:tc>
      </w:tr>
      <w:tr>
        <w:trPr>
          <w:trHeight w:val="454" w:hRule="auto"/>
        </w:trPr>
        body 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86·9 (82·2 - 91·7)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65·2 (33·4 - 97·1)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 (-10·8 - 54·1)</w:t>
            </w:r>
          </w:p>
        </w:tc>
      </w:tr>
      <w:tr>
        <w:trPr>
          <w:trHeight w:val="450" w:hRule="auto"/>
        </w:trPr>
        body 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0·34</w:t>
            </w:r>
          </w:p>
        </w:tc>
      </w:tr>
      <w:tr>
        <w:trPr>
          <w:trHeight w:val="454" w:hRule="auto"/>
        </w:trPr>
        body 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 (31·8 - 46·6)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 (-62·9 - -7·6)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74·4 (45·1 - 100·0)***</w:t>
            </w:r>
          </w:p>
        </w:tc>
      </w:tr>
      <w:tr>
        <w:trPr>
          <w:trHeight w:val="454"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 (50·5 - 66·0)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 (-26·5 - 32·5)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 (24·0 - 86·5)***</w:t>
            </w:r>
          </w:p>
        </w:tc>
      </w:tr>
      <w:tr>
        <w:trPr>
          <w:trHeight w:val="450"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w:t>
            </w:r>
          </w:p>
        </w:tc>
      </w:tr>
      <w:tr>
        <w:trPr>
          <w:trHeight w:val="600" w:hRule="auto"/>
        </w:trPr>
        body 7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Disease</w:t>
            </w: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 (82·3 - 89·2)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 (37·8 - 59·6)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 (26·4 - 47·8)***</w:t>
            </w:r>
          </w:p>
        </w:tc>
      </w:tr>
      <w:tr>
        <w:trPr>
          <w:trHeight w:val="600" w:hRule="auto"/>
        </w:trPr>
        body 8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93·7 (92·0 - 95·4)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 (65·5 - 95·8)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 (-1·0 - 27·0)</w:t>
            </w:r>
          </w:p>
        </w:tc>
      </w:tr>
      <w:tr>
        <w:trPr>
          <w:trHeight w:val="600"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0·00024</w:t>
            </w:r>
          </w:p>
        </w:tc>
      </w:tr>
      <w:tr>
        <w:trPr>
          <w:trHeight w:val="600" w:hRule="auto"/>
        </w:trPr>
        body10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 (41·0 - 53·4)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 (-5·1 - 3·0)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48·2 (39·2 - 57·3)***</w:t>
            </w:r>
          </w:p>
        </w:tc>
      </w:tr>
      <w:tr>
        <w:trPr>
          <w:trHeight w:val="600"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59·8 (56·9 - 62·8)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 (-9·0 - 26·2)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 (32·4 - 70·0)***</w:t>
            </w:r>
          </w:p>
        </w:tc>
      </w:tr>
      <w:tr>
        <w:trPr>
          <w:trHeight w:val="600"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w:t>
            </w:r>
          </w:p>
        </w:tc>
      </w:tr>
      <w:tr>
        <w:trPr>
          <w:trHeight w:val="560" w:hRule="auto"/>
        </w:trPr>
        body13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Severe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Disease</w:t>
            </w: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92·4 (90·4 - 94·4)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82·1 (77·9 - 86·3)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 (6·7 - 13·9)***</w:t>
            </w:r>
          </w:p>
        </w:tc>
      </w:tr>
      <w:tr>
        <w:trPr>
          <w:trHeight w:val="560"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92·9 (89·4 - 96·3)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94·6 (82·5 - 100·0)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 (-14·2 - 10·7)</w:t>
            </w:r>
          </w:p>
        </w:tc>
      </w:tr>
      <w:tr>
        <w:trPr>
          <w:trHeight w:val="560" w:hRule="auto"/>
        </w:trPr>
        body15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0·056</w:t>
            </w:r>
          </w:p>
        </w:tc>
      </w:tr>
      <w:tr>
        <w:trPr>
          <w:trHeight w:val="560" w:hRule="auto"/>
        </w:trPr>
        body16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76·0 (71·8 - 80·2)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 (58·4 - 76·1)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 (1·2 - 16·4)*</w:t>
            </w:r>
          </w:p>
        </w:tc>
      </w:tr>
      <w:tr>
        <w:trPr>
          <w:trHeight w:val="560"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 (86·2 - 93·8)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 (64·4 - 82·4)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 (9·2 - 24·0)***</w:t>
            </w:r>
          </w:p>
        </w:tc>
      </w:tr>
      <w:tr>
        <w:trPr>
          <w:trHeight w:val="560" w:hRule="auto"/>
        </w:trPr>
        body18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bl>
    <w:bookmarkEnd w:id="51"/>
    <w:bookmarkStart w:id="67" w:name="X45d545f22bd0e43bd7335713f7604c279fccce9"/>
    <w:p>
      <w:pPr>
        <w:pStyle w:val="Heading3"/>
      </w:pPr>
      <w:r>
        <w:t xml:space="preserve">Natural and hybrid immunity were more durable that vaccine-induced immunity</w:t>
      </w:r>
    </w:p>
    <w:p>
      <w:pPr>
        <w:pStyle w:val="FirstParagraph"/>
      </w:pPr>
      <w:r>
        <w:t xml:space="preserve">Immunity was more durable following natural infection than vaccination alone (Figure</w:t>
      </w:r>
      <w:r>
        <w:t xml:space="preserve"> </w:t>
      </w:r>
      <w:r>
        <w:t xml:space="preserve">4</w:t>
      </w:r>
      <w:r>
        <w:t xml:space="preserve"> </w:t>
      </w:r>
      <w:r>
        <w:t xml:space="preserve">and Table</w:t>
      </w:r>
      <w:r>
        <w:t xml:space="preserve"> </w:t>
      </w:r>
      <w:r>
        <w:t xml:space="preserve">5</w:t>
      </w:r>
      <w:r>
        <w:t xml:space="preserve">). Initial protection</w:t>
      </w:r>
      <w:r>
        <w:t xml:space="preserve"> </w:t>
      </w:r>
      <w:r>
        <w:t xml:space="preserve">against pre-Omicron variants was similar following natural infection and vaccination for both infections (</w:t>
      </w:r>
      <m:oMath>
        <m:sSub>
          <m:e>
            <m:r>
              <m:t>E</m:t>
            </m:r>
          </m:e>
          <m:sub>
            <m:r>
              <m:t>S</m:t>
            </m:r>
          </m:sub>
        </m:sSub>
      </m:oMath>
      <w:r>
        <w:t xml:space="preserve">, Figure</w:t>
      </w:r>
      <w:r>
        <w:t xml:space="preserve"> </w:t>
      </w:r>
      <w:r>
        <w:t xml:space="preserve">4</w:t>
      </w:r>
      <w:r>
        <w:t xml:space="preserve">A), 84·2 (78·9 - 89·5) vs 83·0 (80·7 - 85·4), and</w:t>
      </w:r>
      <w:r>
        <w:t xml:space="preserve"> </w:t>
      </w:r>
      <w:r>
        <w:t xml:space="preserve">symptomatic disease (</w:t>
      </w:r>
      <m:oMath>
        <m:sSub>
          <m:e>
            <m:r>
              <m:t>E</m:t>
            </m:r>
          </m:e>
          <m:sub>
            <m:r>
              <m:t>D</m:t>
            </m:r>
          </m:sub>
        </m:sSub>
      </m:oMath>
      <w:r>
        <w:t xml:space="preserve">, Figure</w:t>
      </w:r>
      <w:r>
        <w:t xml:space="preserve"> </w:t>
      </w:r>
      <w:r>
        <w:t xml:space="preserve">4</w:t>
      </w:r>
      <w:r>
        <w:t xml:space="preserve">B), 85·8 (78·9 - 92·7) vs 86·1 (83·2 - 89·1). However by thirty weeks after the immune conferring event, both</w:t>
      </w:r>
      <w:r>
        <w:t xml:space="preserve"> </w:t>
      </w:r>
      <m:oMath>
        <m:sSub>
          <m:e>
            <m:r>
              <m:t>E</m:t>
            </m:r>
          </m:e>
          <m:sub>
            <m:r>
              <m:t>S</m:t>
            </m:r>
          </m:sub>
        </m:sSub>
      </m:oMath>
      <w:r>
        <w:t xml:space="preserve"> </w:t>
      </w:r>
      <w:r>
        <w:t xml:space="preserve">and</w:t>
      </w:r>
      <w:r>
        <w:t xml:space="preserve"> </w:t>
      </w:r>
      <m:oMath>
        <m:sSub>
          <m:e>
            <m:r>
              <m:t>E</m:t>
            </m:r>
          </m:e>
          <m:sub>
            <m:r>
              <m:t>D</m:t>
            </m:r>
          </m:sub>
        </m:sSub>
      </m:oMath>
      <w:r>
        <w:t xml:space="preserve"> </w:t>
      </w:r>
      <w:r>
        <w:t xml:space="preserve">were significantly greater following natural infection than vaccination: 77·0 (64·3 - 89·7) vs 47·1 (39·4 - 54·8), and 81·0 (47·4 - 100·0) vs 46·0 (33·5 - 58·6), respectively.</w:t>
      </w:r>
    </w:p>
    <w:p>
      <w:pPr>
        <w:pStyle w:val="BodyText"/>
      </w:pPr>
      <w:r>
        <w:t xml:space="preserve">Natural immunity was also more durable following the strain replacement by Omicron (Figure</w:t>
      </w:r>
      <w:r>
        <w:t xml:space="preserve"> </w:t>
      </w:r>
      <w:r>
        <w:t xml:space="preserve">4</w:t>
      </w:r>
      <w:r>
        <w:t xml:space="preserve">C-D).</w:t>
      </w:r>
      <w:r>
        <w:t xml:space="preserve"> </w:t>
      </w:r>
      <m:oMath>
        <m:sSub>
          <m:e>
            <m:r>
              <m:t>E</m:t>
            </m:r>
          </m:e>
          <m:sub>
            <m:r>
              <m:t>S</m:t>
            </m:r>
          </m:sub>
        </m:sSub>
      </m:oMath>
      <w:r>
        <w:t xml:space="preserve"> </w:t>
      </w:r>
      <w:r>
        <w:t xml:space="preserve">against Omicron variants was significantly greater than vaccine-induced immunity at both two weeks, 51·3 (40·5 - 62·1) vs 40·0 (31·5 - 48·5) , and thirty weeks, 36·8 (25·3 - 48·4) vs -6·6 (-20·4 - 7·2).</w:t>
      </w:r>
      <w:r>
        <w:t xml:space="preserve"> </w:t>
      </w:r>
      <m:oMath>
        <m:sSub>
          <m:e>
            <m:r>
              <m:t>E</m:t>
            </m:r>
          </m:e>
          <m:sub>
            <m:r>
              <m:t>D</m:t>
            </m:r>
          </m:sub>
        </m:sSub>
      </m:oMath>
      <w:r>
        <w:t xml:space="preserve"> </w:t>
      </w:r>
      <w:r>
        <w:t xml:space="preserve">against Omicron variants was also significantly greater at thirty weeks following infection, 25·8 (9·7 - 41·9), than thirty weeks following vaccination, -1·5 (-10·4 - 7·4).</w:t>
      </w:r>
    </w:p>
    <w:p>
      <w:pPr>
        <w:pStyle w:val="BodyText"/>
      </w:pPr>
      <w:r>
        <w:t xml:space="preserve">Vaccine-induced immunity was more durable among those with prior infection (i.e among those with hybrid immunity) compared to those with no history of infection.</w:t>
      </w:r>
      <w:r>
        <w:t xml:space="preserve"> </w:t>
      </w:r>
      <m:oMath>
        <m:sSub>
          <m:e>
            <m:r>
              <m:t>E</m:t>
            </m:r>
          </m:e>
          <m:sub>
            <m:r>
              <m:t>S</m:t>
            </m:r>
          </m:sub>
        </m:sSub>
      </m:oMath>
      <w:r>
        <w:t xml:space="preserve"> </w:t>
      </w:r>
      <w:r>
        <w:t xml:space="preserve">against pre-Omicron variants was 86·7 (77·5 - 95·9) at two weeks and remained at 90·1 (73·5 - 100·0) at thirty weeks, significantly greater than in those with no prior infection.</w:t>
      </w:r>
      <w:r>
        <w:t xml:space="preserve"> </w:t>
      </w:r>
      <m:oMath>
        <m:sSub>
          <m:e>
            <m:r>
              <m:t>E</m:t>
            </m:r>
          </m:e>
          <m:sub>
            <m:r>
              <m:t>S</m:t>
            </m:r>
          </m:sub>
        </m:sSub>
      </m:oMath>
      <w:r>
        <w:t xml:space="preserve"> </w:t>
      </w:r>
      <w:r>
        <w:t xml:space="preserve">against Omicron variants was also higher in those with hybrid immunity than among those with no prior infection at both two weeks, 73·5 (61·7 - 85·3) , and thirty weeks, 43·1 (28·2 - 57·9).</w:t>
      </w:r>
    </w:p>
    <w:p>
      <w:pPr>
        <w:pStyle w:val="CaptionedFigure"/>
      </w:pPr>
      <w:r>
        <w:drawing>
          <wp:inline>
            <wp:extent cx="5334000" cy="2667000"/>
            <wp:effectExtent b="0" l="0" r="0" t="0"/>
            <wp:docPr descr="Figure 4: Protection against infection and symptomatic disease by immune status and time since most recent immune conferring event relative to an immune-naive population. For individuals who received primary vaccination with prior infection time since immune conferring event refers to time since vaccination." title="" id="53" name="Picture"/>
            <a:graphic>
              <a:graphicData uri="http://schemas.openxmlformats.org/drawingml/2006/picture">
                <pic:pic>
                  <pic:nvPicPr>
                    <pic:cNvPr descr="Waning_Review_files/figure-docx/Infection-Figure-1.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5" w:name="fig:Infection-Figure"/>
      <w:bookmarkEnd w:id="55"/>
      <w:r>
        <w:t xml:space="preserve">Figure 4: Protection against infection and symptomatic disease by immune status and time since most recent immune conferring event relative to an immune-naive population. For individuals who received primary vaccination with prior infection time since immune conferring event refers to time since vaccination.</w:t>
      </w:r>
    </w:p>
    <w:p>
      <w:r>
        <w:br w:type="page"/>
      </w:r>
    </w:p>
    <w:p>
      <w:pPr>
        <w:pStyle w:val="TableCaption"/>
      </w:pPr>
      <w:bookmarkStart w:id="56" w:name="tab:Infection-Table"/>
      <w:bookmarkEnd w:id="56"/>
      <w:r>
        <w:t xml:space="preserve">Table 5:</w:t>
      </w:r>
      <w:r>
        <w:t xml:space="preserve"> </w:t>
      </w:r>
      <w:r>
        <w:t xml:space="preserve">Unadjusted estimates of immune efficacy by immune type at two and thirty weeks since most recent immune conferring event and the change over that time frame with 95% confidence intervals. Primary = Primary series only, Natural Imm. = Prior infection onlu, Hybrid = Prior Infection followed by Primary series. Analysis was stratified by infecting strain and clinical outcome. Significance of the impact of strain replacement and of time since vaccination was evaluated with a two-sided t-test. Listed p-values indicate the significance of the strain replacement. Significance of the change over time is indicated by *(p&lt;.05), **(p&lt;.01), and ***(p&lt;.001).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3"/>
        <w:gridCol w:w="1601"/>
        <w:gridCol w:w="1411"/>
        <w:gridCol w:w="1834"/>
        <w:gridCol w:w="1945"/>
        <w:gridCol w:w="2068"/>
      </w:tblGrid>
      <w:tr>
        <w:trPr>
          <w:trHeight w:val="45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Infecting 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Immunity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Initial (Week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Waned (Week 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Change</w:t>
            </w:r>
          </w:p>
        </w:tc>
      </w:tr>
      <w:tr>
        <w:trPr>
          <w:trHeight w:val="454" w:hRule="auto"/>
        </w:trPr>
        body 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Infection</w:t>
            </w:r>
          </w:p>
        </w:tc>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83·0 (80·7 - 85·4)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47·1 (39·4 - 54·8)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36·0 (28·3 - 43·6)***</w:t>
            </w:r>
          </w:p>
        </w:tc>
      </w:tr>
      <w:tr>
        <w:trPr>
          <w:trHeight w:val="454" w:hRule="auto"/>
        </w:trPr>
        body 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84·2 (78·9 - 89·5)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 (64·3 - 89·7)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 (-5·8 - 20·2)</w:t>
            </w:r>
          </w:p>
        </w:tc>
      </w:tr>
      <w:tr>
        <w:trPr>
          <w:trHeight w:val="45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86·7 (77·5 - 95·9)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 (73·5 - 100·0)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 (-23·5 - 16·7)</w:t>
            </w:r>
          </w:p>
        </w:tc>
      </w:tr>
      <w:tr>
        <w:trPr>
          <w:trHeight w:val="415"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r>
      <w:tr>
        <w:trPr>
          <w:trHeight w:val="452" w:hRule="auto"/>
        </w:trPr>
        body 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0.00014</w:t>
            </w:r>
          </w:p>
        </w:tc>
      </w:tr>
      <w:tr>
        <w:trPr>
          <w:trHeight w:val="454" w:hRule="auto"/>
        </w:trPr>
        body 6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 (31·5 - 48·5)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 (-20·4 - 7·2)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 (32·9 - 60·3)***</w:t>
            </w:r>
          </w:p>
        </w:tc>
      </w:tr>
      <w:tr>
        <w:trPr>
          <w:trHeight w:val="45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51·3 (40·5 - 62·1)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36·8 (25·3 - 48·4)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 (7·0 - 21·9)***</w:t>
            </w:r>
          </w:p>
        </w:tc>
      </w:tr>
      <w:tr>
        <w:trPr>
          <w:trHeight w:val="45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73·5 (61·7 - 85·3)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 (28·2 - 57·9)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 (13·8 - 47·1)***</w:t>
            </w:r>
          </w:p>
        </w:tc>
      </w:tr>
      <w:tr>
        <w:trPr>
          <w:trHeight w:val="415"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r>
      <w:tr>
        <w:trPr>
          <w:trHeight w:val="452" w:hRule="auto"/>
        </w:trPr>
        body10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w:t>
            </w:r>
          </w:p>
        </w:tc>
      </w:tr>
      <w:tr>
        <w:trPr>
          <w:trHeight w:val="600" w:hRule="auto"/>
        </w:trPr>
        body11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Disease</w:t>
            </w: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86·1 (83·2 - 89·1)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 (33·5 - 58·6)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40·1 (29·1 - 51·1)***</w:t>
            </w:r>
          </w:p>
        </w:tc>
      </w:tr>
      <w:tr>
        <w:trPr>
          <w:trHeight w:val="600" w:hRule="auto"/>
        </w:trPr>
        body12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 (78·9 - 92·7)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 (47·4 - 100·0)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(-28·2 - 37·8)</w:t>
            </w:r>
          </w:p>
        </w:tc>
      </w:tr>
      <w:tr>
        <w:trPr>
          <w:trHeight w:val="600" w:hRule="auto"/>
        </w:trPr>
        body13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r>
      <w:tr>
        <w:trPr>
          <w:trHeight w:val="600" w:hRule="auto"/>
        </w:trPr>
        body14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44·0 (35·7 - 52·2)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 (-10·4 - 7·4)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45·5 (33·0 - 58·0)***</w:t>
            </w:r>
          </w:p>
        </w:tc>
      </w:tr>
      <w:tr>
        <w:trPr>
          <w:trHeight w:val="600"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 (48·3 - 73·5)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 (9·7 - 41·9)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 (13·6 - 56·6)**</w:t>
            </w:r>
          </w:p>
        </w:tc>
      </w:tr>
      <w:tr>
        <w:trPr>
          <w:trHeight w:val="600"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 (56·4 - 90·4)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 (17·0 - 55·3)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 (10·0 - 64·4)**</w:t>
            </w:r>
          </w:p>
        </w:tc>
      </w:tr>
      <w:tr>
        <w:trPr>
          <w:trHeight w:val="600"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w:t>
            </w:r>
          </w:p>
        </w:tc>
      </w:tr>
      <w:tr>
        <w:trPr>
          <w:trHeight w:val="600" w:hRule="auto"/>
        </w:trPr>
        body18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0.00068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w:t>
            </w:r>
          </w:p>
        </w:tc>
      </w:tr>
    </w:tbl>
    <w:p>
      <w:pPr>
        <w:pStyle w:val="BodyText"/>
      </w:pPr>
      <w:r>
        <w:t xml:space="preserve">The strength and durability of natural and hybrid immunity depended on the variant of the prior infection as well as time since most recent immune conferring event (Figure</w:t>
      </w:r>
      <w:r>
        <w:t xml:space="preserve"> </w:t>
      </w:r>
      <w:r>
        <w:t xml:space="preserve">5</w:t>
      </w:r>
      <w:r>
        <w:t xml:space="preserve"> </w:t>
      </w:r>
      <w:r>
        <w:t xml:space="preserve">and Table</w:t>
      </w:r>
      <w:r>
        <w:t xml:space="preserve"> </w:t>
      </w:r>
      <w:r>
        <w:t xml:space="preserve">6</w:t>
      </w:r>
      <w:r>
        <w:t xml:space="preserve">).</w:t>
      </w:r>
      <w:r>
        <w:t xml:space="preserve"> </w:t>
      </w:r>
      <m:oMath>
        <m:sSub>
          <m:e>
            <m:r>
              <m:t>E</m:t>
            </m:r>
          </m:e>
          <m:sub>
            <m:r>
              <m:t>S</m:t>
            </m:r>
          </m:sub>
        </m:sSub>
      </m:oMath>
      <w:r>
        <w:t xml:space="preserve"> </w:t>
      </w:r>
      <w:r>
        <w:t xml:space="preserve">against Omicron variants were similar two weeks following either a</w:t>
      </w:r>
      <w:r>
        <w:t xml:space="preserve"> </w:t>
      </w:r>
      <w:r>
        <w:t xml:space="preserve">“</w:t>
      </w:r>
      <w:r>
        <w:t xml:space="preserve">Pre - Omicron</w:t>
      </w:r>
      <w:r>
        <w:t xml:space="preserve">”</w:t>
      </w:r>
      <w:r>
        <w:t xml:space="preserve"> </w:t>
      </w:r>
      <w:r>
        <w:t xml:space="preserve">infection or primary vaccination</w:t>
      </w:r>
      <w:r>
        <w:t xml:space="preserve"> </w:t>
      </w:r>
      <w:r>
        <w:t xml:space="preserve">, vs 39·6 (31·5 - 47·7); though natural immunity was greater after thirty weeks, vs -6·6 (-19·4 - 6·3). Hybrid immunity provided the most protection at both time points (Figure</w:t>
      </w:r>
      <w:r>
        <w:t xml:space="preserve"> </w:t>
      </w:r>
      <w:r>
        <w:t xml:space="preserve">5</w:t>
      </w:r>
      <w:r>
        <w:t xml:space="preserve"> </w:t>
      </w:r>
      <w:r>
        <w:t xml:space="preserve">top left). A similar trend was observed in</w:t>
      </w:r>
      <w:r>
        <w:t xml:space="preserve"> </w:t>
      </w:r>
      <m:oMath>
        <m:sSub>
          <m:e>
            <m:r>
              <m:t>E</m:t>
            </m:r>
          </m:e>
          <m:sub>
            <m:r>
              <m:t>D</m:t>
            </m:r>
          </m:sub>
        </m:sSub>
      </m:oMath>
      <w:r>
        <w:t xml:space="preserve">: natural immunity from a pre-Omicron variant provided similar protection against Omicron variants as primary vaccination at two weeks,</w:t>
      </w:r>
      <w:r>
        <w:t xml:space="preserve"> </w:t>
      </w:r>
      <w:r>
        <w:t xml:space="preserve">vs 44·0 (36·2 - 51·8),</w:t>
      </w:r>
      <w:r>
        <w:t xml:space="preserve"> </w:t>
      </w:r>
      <w:r>
        <w:t xml:space="preserve">and this protection proved to be more robust at thirty weeks, vs -1·4 (-10·6 - 7·8). Prior infection with Omicron provided robust protection against subsequent reinfection with Omicron,, and symptomatic disease,, significantly greater than that conferred by primary vaccination (Figure</w:t>
      </w:r>
      <w:r>
        <w:t xml:space="preserve"> </w:t>
      </w:r>
      <w:r>
        <w:t xml:space="preserve">5</w:t>
      </w:r>
      <w:r>
        <w:t xml:space="preserve"> </w:t>
      </w:r>
      <w:r>
        <w:t xml:space="preserve">bottom row).</w:t>
      </w:r>
    </w:p>
    <w:p>
      <w:pPr>
        <w:pStyle w:val="CaptionedFigure"/>
      </w:pPr>
      <w:r>
        <w:drawing>
          <wp:inline>
            <wp:extent cx="5334000" cy="2667000"/>
            <wp:effectExtent b="0" l="0" r="0" t="0"/>
            <wp:docPr descr="Figure 5: Protection against any Omicron infection and symptomatic disease by type of prior infection and time since most recent immune conferring event relative to an immune-naive population. For individuals who received primary vaccination with prior infection time since immune conferring event refers to time since vaccination." title="" id="58" name="Picture"/>
            <a:graphic>
              <a:graphicData uri="http://schemas.openxmlformats.org/drawingml/2006/picture">
                <pic:pic>
                  <pic:nvPicPr>
                    <pic:cNvPr descr="Waning_Review_files/figure-docx/Infection-Figure-pstrain-1.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60" w:name="fig:Infection-Figure-pstrain"/>
      <w:bookmarkEnd w:id="60"/>
      <w:r>
        <w:t xml:space="preserve">Figure 5: Protection against any Omicron infection and symptomatic disease by type of prior infection and time since most recent immune conferring event relative to an immune-naive population. For individuals who received primary vaccination with prior infection time since immune conferring event refers to time since vaccination.</w:t>
      </w:r>
    </w:p>
    <w:p>
      <w:r>
        <w:br w:type="page"/>
      </w:r>
    </w:p>
    <w:p>
      <w:pPr>
        <w:pStyle w:val="TableCaption"/>
      </w:pPr>
      <w:bookmarkStart w:id="61" w:name="tab:Infection-Table-mod"/>
      <w:bookmarkEnd w:id="61"/>
      <w:r>
        <w:t xml:space="preserve">Table 6:</w:t>
      </w:r>
      <w:r>
        <w:t xml:space="preserve"> </w:t>
      </w:r>
      <w:r>
        <w:t xml:space="preserve">Unadjusted estimates of immune efficacy from by immune type at two and thirty weeks since most recent dose and the change over that time frame with 95% confidence intervals. Analysis was stratified by the variant of the prior infection. Significance of the impact of strain replacement and of time since vaccination was evaluated with a two-sided t-test. Listed p-values indicate the significance of the strain replacement. Significance of the change over time is indicated by *(p&lt;.05), **(p&lt;.01), and ***(p&lt;.001).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3"/>
        <w:gridCol w:w="1501"/>
        <w:gridCol w:w="1411"/>
        <w:gridCol w:w="1945"/>
        <w:gridCol w:w="2123"/>
        <w:gridCol w:w="2123"/>
      </w:tblGrid>
      <w:tr>
        <w:trPr>
          <w:trHeight w:val="45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Prior Infection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Immunity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Initial (Week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Waned (Week 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Change</w:t>
            </w:r>
          </w:p>
        </w:tc>
      </w:tr>
      <w:tr>
        <w:trPr>
          <w:trHeight w:val="454" w:hRule="auto"/>
        </w:trPr>
        body 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Infection</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 (31·5 - 47·7)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 (-19·4 - 6·3)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46·2 (33·6 - 58·7)***</w:t>
            </w:r>
          </w:p>
        </w:tc>
      </w:tr>
      <w:tr>
        <w:trPr>
          <w:trHeight w:val="454" w:hRule="auto"/>
        </w:trPr>
        body 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37·4 (25·5 - 49·3)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 (18·7 - 41·3)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 (-0·1 - 14·8)</w:t>
            </w:r>
          </w:p>
        </w:tc>
      </w:tr>
      <w:tr>
        <w:trPr>
          <w:trHeight w:val="454"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70·2 (57·6 - 82·8)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48·1 (31·3 - 64·9)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 (2·7 - 41·4)*</w:t>
            </w:r>
          </w:p>
        </w:tc>
      </w:tr>
      <w:tr>
        <w:trPr>
          <w:trHeight w:val="415"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r>
      <w:tr>
        <w:trPr>
          <w:trHeight w:val="452" w:hRule="auto"/>
        </w:trPr>
        body 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r>
      <w:tr>
        <w:trPr>
          <w:trHeight w:val="454" w:hRule="auto"/>
        </w:trPr>
        body 6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 (57·3 - 84·9)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42·7 (17·9 - 67·5)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28·4 (1·0 - 55·9)*</w:t>
            </w:r>
          </w:p>
        </w:tc>
      </w:tr>
      <w:tr>
        <w:trPr>
          <w:trHeight w:val="45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78·3 (62·1 - 94·4)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 (19·1 - 59·5)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 (13·6 - 64·4)**</w:t>
            </w:r>
          </w:p>
        </w:tc>
      </w:tr>
      <w:tr>
        <w:trPr>
          <w:trHeight w:val="415"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w:t>
            </w:r>
          </w:p>
        </w:tc>
      </w:tr>
      <w:tr>
        <w:trPr>
          <w:trHeight w:val="452"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w:t>
            </w:r>
          </w:p>
        </w:tc>
      </w:tr>
      <w:tr>
        <w:trPr>
          <w:trHeight w:val="600" w:hRule="auto"/>
        </w:trPr>
        body10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Disease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44·0 (36·2 - 51·8)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(-10·6 - 7·8)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 (32·5 - 58·3)***</w:t>
            </w:r>
          </w:p>
        </w:tc>
      </w:tr>
      <w:tr>
        <w:trPr>
          <w:trHeight w:val="600" w:hRule="auto"/>
        </w:trPr>
        body11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52·4 (38·2 - 66·5)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 (11·8 - 45·4)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 (-0·6 - 48·1)</w:t>
            </w:r>
          </w:p>
        </w:tc>
      </w:tr>
      <w:tr>
        <w:trPr>
          <w:trHeight w:val="600"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66·0 (46·4 - 85·7)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39·1 (19·3 - 58·9)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 (-3·6 - 57·4)</w:t>
            </w:r>
          </w:p>
        </w:tc>
      </w:tr>
      <w:tr>
        <w:trPr>
          <w:trHeight w:val="600"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w:t>
            </w:r>
          </w:p>
        </w:tc>
      </w:tr>
      <w:tr>
        <w:trPr>
          <w:trHeight w:val="600" w:hRule="auto"/>
        </w:trPr>
        body14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0.27</w:t>
            </w:r>
          </w:p>
        </w:tc>
      </w:tr>
      <w:tr>
        <w:trPr>
          <w:trHeight w:val="600" w:hRule="auto"/>
        </w:trPr>
        body15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Omicron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Natural Imm.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 (61·5 - 100·0)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 (-77·4 - 55·8)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92·4 (13·9 - 100·0)*</w:t>
            </w:r>
          </w:p>
        </w:tc>
      </w:tr>
      <w:tr>
        <w:trPr>
          <w:trHeight w:val="600"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90·3 (58·9 - 100·0)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28·4 (-136·7 - 100·0)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 (-125·5 - 100·0)</w:t>
            </w:r>
          </w:p>
        </w:tc>
      </w:tr>
      <w:tr>
        <w:trPr>
          <w:trHeight w:val="600"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Imm. vs 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w:t>
            </w:r>
          </w:p>
        </w:tc>
      </w:tr>
      <w:tr>
        <w:trPr>
          <w:trHeight w:val="600" w:hRule="auto"/>
        </w:trPr>
        body18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Hyb. vs Pri.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r>
    </w:tbl>
    <w:p>
      <w:pPr>
        <w:pStyle w:val="BodyText"/>
      </w:pPr>
      <w:r>
        <w:t xml:space="preserve">Finally, we compared</w:t>
      </w:r>
      <w:r>
        <w:t xml:space="preserve"> </w:t>
      </w:r>
      <m:oMath>
        <m:sSub>
          <m:e>
            <m:r>
              <m:t>E</m:t>
            </m:r>
          </m:e>
          <m:sub>
            <m:r>
              <m:t>S</m:t>
            </m:r>
          </m:sub>
        </m:sSub>
      </m:oMath>
      <w:r>
        <w:t xml:space="preserve"> </w:t>
      </w:r>
      <w:r>
        <w:t xml:space="preserve">and</w:t>
      </w:r>
      <w:r>
        <w:t xml:space="preserve"> </w:t>
      </w:r>
      <m:oMath>
        <m:sSub>
          <m:e>
            <m:r>
              <m:t>E</m:t>
            </m:r>
          </m:e>
          <m:sub>
            <m:r>
              <m:t>D</m:t>
            </m:r>
          </m:sub>
        </m:sSub>
      </m:oMath>
      <w:r>
        <w:t xml:space="preserve"> </w:t>
      </w:r>
      <w:r>
        <w:t xml:space="preserve">following booster doses in individuals with</w:t>
      </w:r>
      <w:r>
        <w:t xml:space="preserve"> </w:t>
      </w:r>
      <w:r>
        <w:t xml:space="preserve">and without prior infection (Figure</w:t>
      </w:r>
      <w:r>
        <w:t xml:space="preserve"> </w:t>
      </w:r>
      <w:r>
        <w:t xml:space="preserve">6</w:t>
      </w:r>
      <w:r>
        <w:t xml:space="preserve"> </w:t>
      </w:r>
      <w:r>
        <w:t xml:space="preserve">and Table</w:t>
      </w:r>
      <w:r>
        <w:t xml:space="preserve"> </w:t>
      </w:r>
      <w:r>
        <w:t xml:space="preserve">7</w:t>
      </w:r>
      <w:r>
        <w:t xml:space="preserve">). At two weeks following a booster dose, individuals with a prior infection had significantly greater</w:t>
      </w:r>
      <w:r>
        <w:t xml:space="preserve"> </w:t>
      </w:r>
      <m:oMath>
        <m:sSub>
          <m:e>
            <m:r>
              <m:t>E</m:t>
            </m:r>
          </m:e>
          <m:sub>
            <m:r>
              <m:t>S</m:t>
            </m:r>
          </m:sub>
        </m:sSub>
      </m:oMath>
      <w:r>
        <w:t xml:space="preserve">, 77·0 (68·3 - 85·7) vs 53·6 (48·1 - 59·1) and</w:t>
      </w:r>
      <w:r>
        <w:t xml:space="preserve"> </w:t>
      </w:r>
      <m:oMath>
        <m:sSub>
          <m:e>
            <m:r>
              <m:t>E</m:t>
            </m:r>
          </m:e>
          <m:sub>
            <m:r>
              <m:t>D</m:t>
            </m:r>
          </m:sub>
        </m:sSub>
      </m:oMath>
      <w:r>
        <w:t xml:space="preserve">, 83·4 (71·5 - 95·2) vs 60·1 (54·7 - 65·4) than those with no prior infection. Differences at 30 weeks were not significant.</w:t>
      </w:r>
    </w:p>
    <w:p>
      <w:pPr>
        <w:pStyle w:val="CaptionedFigure"/>
      </w:pPr>
      <w:r>
        <w:drawing>
          <wp:inline>
            <wp:extent cx="5334000" cy="2667000"/>
            <wp:effectExtent b="0" l="0" r="0" t="0"/>
            <wp:docPr descr="Figure 6: Protection from 3+ doses of mRNA vaccine against infection and symptomatic disease by prior infection and time since most recent immune conferring event relative to an immune-naive population. For individuals who received primary vaccination with prior infection time since immune conferring event refers to time since vaccination." title="" id="63" name="Picture"/>
            <a:graphic>
              <a:graphicData uri="http://schemas.openxmlformats.org/drawingml/2006/picture">
                <pic:pic>
                  <pic:nvPicPr>
                    <pic:cNvPr descr="Waning_Review_files/figure-docx/Hybrid-Boosted-Figure-1.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65" w:name="fig:Hybrid-Boosted-Figure"/>
      <w:bookmarkEnd w:id="65"/>
      <w:r>
        <w:t xml:space="preserve">Figure 6: Protection from 3+ doses of mRNA vaccine against infection and symptomatic disease by prior infection and time since most recent immune conferring event relative to an immune-naive population. For individuals who received primary vaccination with prior infection time since immune conferring event refers to time since vaccination.</w:t>
      </w:r>
    </w:p>
    <w:p>
      <w:r>
        <w:br w:type="page"/>
      </w:r>
    </w:p>
    <w:p>
      <w:pPr>
        <w:pStyle w:val="TableCaption"/>
      </w:pPr>
      <w:bookmarkStart w:id="66" w:name="tab:Hybrid-Boosted-Table"/>
      <w:bookmarkEnd w:id="66"/>
      <w:r>
        <w:t xml:space="preserve">Table 7:</w:t>
      </w:r>
      <w:r>
        <w:t xml:space="preserve"> </w:t>
      </w:r>
      <w:r>
        <w:t xml:space="preserve">Unadjusted estimates of immune efficacy by prior infection at two and thirty weeks since most mRNA booster dose and the change over that time frame with 95% confidence intervals. Primary = Primary series only. Analysis was stratified by infecting strain and clinical outcome. Significance of the impact of strain replacement and of time since vaccination was evaluated with a two-sided t-test. Listed p-values indicate the significance of the strain replacement. Significance of the change over time is indicated by *(p&lt;.05), **(p&lt;.01), and ***(p&lt;.001).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3"/>
        <w:gridCol w:w="2045"/>
        <w:gridCol w:w="1834"/>
        <w:gridCol w:w="2012"/>
        <w:gridCol w:w="2068"/>
      </w:tblGrid>
      <w:tr>
        <w:trPr>
          <w:trHeight w:val="45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Outcome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Dose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Initial (Week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Waned (Week 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Change</w:t>
            </w:r>
          </w:p>
        </w:tc>
      </w:tr>
      <w:tr>
        <w:trPr>
          <w:trHeight w:val="563" w:hRule="auto"/>
        </w:trPr>
        body1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SARS-Cov-2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Infection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53·6 (48·1 - 59·1)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 (-8·8 - 43·2)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 (9·3 - 63·6)*</w:t>
            </w:r>
          </w:p>
        </w:tc>
      </w:tr>
      <w:tr>
        <w:trPr>
          <w:trHeight w:val="600" w:hRule="auto"/>
        </w:trPr>
        body2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Prior Infection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 (68·3 - 85·7)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 (-27·1 - 61·2)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59·9 (12·3 - 100·0)*</w:t>
            </w:r>
          </w:p>
        </w:tc>
      </w:tr>
      <w:tr>
        <w:trPr>
          <w:trHeight w:val="563" w:hRule="auto"/>
        </w:trPr>
        body3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&lt;0.0001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w:t>
            </w:r>
          </w:p>
        </w:tc>
      </w:tr>
      <w:tr>
        <w:trPr>
          <w:trHeight w:val="748" w:hRule="auto"/>
        </w:trPr>
        body4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Symptomatic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COVID-19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Disease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60·1 (54·7 - 65·4)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 (7·6 - 35·7)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38·4 (23·7 - 53·1)***</w:t>
            </w:r>
          </w:p>
        </w:tc>
      </w:tr>
      <w:tr>
        <w:trPr>
          <w:trHeight w:val="748" w:hRule="auto"/>
        </w:trPr>
        body5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Primary + Booster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Prior Infection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83·4 (71·5 - 95·2)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48·3 (-21·5 - 100·0)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 (-39·6 - 100·0)</w:t>
            </w:r>
          </w:p>
        </w:tc>
      </w:tr>
      <w:tr>
        <w:trPr>
          <w:trHeight w:val="748" w:hRule="auto"/>
        </w:trPr>
        body6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p-value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r>
    </w:tbl>
    <w:bookmarkEnd w:id="67"/>
    <w:bookmarkEnd w:id="68"/>
    <w:bookmarkEnd w:id="69"/>
    <w:bookmarkStart w:id="70" w:name="discussion"/>
    <w:p>
      <w:pPr>
        <w:pStyle w:val="Heading1"/>
      </w:pPr>
      <w:r>
        <w:t xml:space="preserve">Discussion</w:t>
      </w:r>
    </w:p>
    <w:p>
      <w:pPr>
        <w:pStyle w:val="FirstParagraph"/>
      </w:pPr>
      <w:r>
        <w:t xml:space="preserve">As SARS-CoV-2 becomes endemic, precise estimates of the durability and quality of protection are valuable for guiding ongoing vaccination programs, disease surveillance, and other mitigation strategies. In this meta-analysis, we combined data from 123 studies to estimate vaccination-induced and infection-induced protection over time against three outcomes: SARS-2-CoV2 infection, symptomatic COVID-19, and severe COVID-19. We found that 1) all three forms of immunity waned over time, but that protection against severe disease was the most durable, 2) protection against Omicron strains was substantially lower than pre-Omicron strains, 3) booster doses could restore protection against pre-Omicron strains and enhance it against Omicron strains, without improving durability of immunity, 4) prior infection increased the durability of vaccine-induced immunity over time and conferred immunity that was more durable than vaccine-derived, 5) prior infection with a pre-Omicron strain provided similar initial protection as primary vaccination against infection with Omicron strains, but was more durable, and 6) prior infection enhances booster-induced immunity against Omicron strains. These results are consistent with prior meta-analyses, but expand on them due to 1) the inclusion of studies up to January 1st, 2023, 2) a comprehensive analysis of primary and booster-induced immunity, infection-induced immunity, and hybrid immunity, and 3) an analysis of infection-induced immunity following both pre-Omicron and Omicron variants.</w:t>
      </w:r>
      <w:r>
        <w:rPr>
          <w:vertAlign w:val="superscript"/>
        </w:rPr>
        <w:t xml:space="preserve">4,9,10,14,15</w:t>
      </w:r>
    </w:p>
    <w:p>
      <w:pPr>
        <w:pStyle w:val="BodyText"/>
      </w:pPr>
      <w:r>
        <w:t xml:space="preserve">Immunological memory consists of both humoral and cellular responses which may be depleted at different time scales.</w:t>
      </w:r>
      <w:r>
        <w:rPr>
          <w:vertAlign w:val="superscript"/>
        </w:rPr>
        <w:t xml:space="preserve">19</w:t>
      </w:r>
      <w:r>
        <w:t xml:space="preserve"> </w:t>
      </w:r>
      <w:r>
        <w:t xml:space="preserve">Given the availability of data, we have focused on waning protection over the first 30 weeks after an immune conferring event, corresponding roughly to the duration of humoral immunity following vaccination. The maintenance of residual immunity at 30 weeks, especially against severe disease, suggests that long-lived memory CD4+ and CD8+ T cell populations likely continue to provide protection, or that antibody responses in relevant respiratory compartments may differ from those measured in blood. Future study will be necessary to quantify the strength and durability of that protection following primary vaccination, booster doses, and infection.</w:t>
      </w:r>
    </w:p>
    <w:p>
      <w:pPr>
        <w:pStyle w:val="BodyText"/>
      </w:pPr>
      <w:r>
        <w:t xml:space="preserve">Our results highlight the importance of booster doses for protecting against new variants. Even though hybrid immunity proved to be more durable than the immunity from vaccination alone, protection against infection and symptomatic disease against Omicron variants still waned significantly over the course of 30 weeks, including among those who got infected by an Omicron variant. It is therefore possible that a new variant could escape from the immunity conferred by Omicron infection, unless that immunity is regularly augmented by booster doses.</w:t>
      </w:r>
    </w:p>
    <w:p>
      <w:pPr>
        <w:pStyle w:val="BodyText"/>
      </w:pPr>
      <w:r>
        <w:t xml:space="preserve">As more information on COVID-19 becomes available, estimates of the durability of immunity will have to be continuously updated. The present study has several limitations. First, all estimates in the meta-analysis were associated with a range of times since the immune conferring event, but many of these ranges were open-ended with a minimum time but no maximum. Therefore, for all estimates, we took the time since immune conferring event to be the minimum time, making our estimates conservative. Second, all estimates in this analysis were relative to previously uninfected and unvaccinated individuals. This sub-population is not randomized, potentially introducing bias.</w:t>
      </w:r>
      <w:r>
        <w:rPr>
          <w:vertAlign w:val="superscript"/>
        </w:rPr>
        <w:t xml:space="preserve">20</w:t>
      </w:r>
      <w:r>
        <w:t xml:space="preserve"> </w:t>
      </w:r>
      <w:r>
        <w:t xml:space="preserve">Third, heterogeneity of risk within cohorts can lead to an imbalance between groups, potentially contributing to waning immunity. This can occur if there are unmeasured confounding variables such as differences in exposure or susceptibility to severe disease. Fourth, in this study we assume a linear decline of immunity over time, which we expect to be unlikely to hold beyond thirty weeks. Exponential or bi-exponential decay may be a more appropriate model for the decline of immunity over the course of several years.</w:t>
      </w:r>
    </w:p>
    <w:p>
      <w:pPr>
        <w:pStyle w:val="BodyText"/>
      </w:pPr>
      <w:r>
        <w:t xml:space="preserve">A comprehensive understanding of the dynamics of immunity following both vaccination and infection will be critical for future pandemic preparedness.</w:t>
      </w:r>
      <w:r>
        <w:t xml:space="preserve"> </w:t>
      </w:r>
      <w:r>
        <w:t xml:space="preserve">The risk posed by emerging SARS-CoV-2 variants will depend on the population-level protection against infection and severe disease and its robustness to strain replacement. Knowing when and how vaccine protection wanes can help public health officials plan for future vaccination and booster campaigns, offer guidance to individuals about how long protection from vaccination can last, and help ensure equitable distrbution of vaccines</w:t>
      </w:r>
      <w:r>
        <w:rPr>
          <w:vertAlign w:val="superscript"/>
        </w:rPr>
        <w:t xml:space="preserve">21</w:t>
      </w:r>
      <w:r>
        <w:t xml:space="preserve">.</w:t>
      </w:r>
      <w:r>
        <w:t xml:space="preserve"> </w:t>
      </w:r>
      <w:r>
        <w:t xml:space="preserve">Replenishment of population immunity from ongoing SARS-CoV-2 transmission infections and booster doses must be weighed against the overall waning of immunity over time to assess the potential risk posed by a new emerging variants.</w:t>
      </w:r>
      <w:r>
        <w:t xml:space="preserve"> </w:t>
      </w:r>
    </w:p>
    <w:bookmarkEnd w:id="70"/>
    <w:bookmarkStart w:id="93" w:name="bibliography"/>
    <w:p>
      <w:pPr>
        <w:pStyle w:val="Heading1"/>
      </w:pPr>
      <w:r>
        <w:t xml:space="preserve">Bibliography</w:t>
      </w:r>
    </w:p>
    <w:bookmarkStart w:id="92" w:name="refs"/>
    <w:bookmarkStart w:id="71" w:name="ref-covidvaxview"/>
    <w:p>
      <w:pPr>
        <w:pStyle w:val="Bibliography"/>
      </w:pPr>
      <w:r>
        <w:t xml:space="preserve">1</w:t>
      </w:r>
      <w:r>
        <w:t xml:space="preserve"> </w:t>
      </w:r>
      <w:r>
        <w:t xml:space="preserve">	</w:t>
      </w:r>
      <w:r>
        <w:t xml:space="preserve">COVIDVaxView. COVID-19 vaccination coverage and vaccine confidence. 2024.</w:t>
      </w:r>
    </w:p>
    <w:bookmarkEnd w:id="71"/>
    <w:bookmarkStart w:id="72" w:name="ref-meggiolaro2022effectiveness"/>
    <w:p>
      <w:pPr>
        <w:pStyle w:val="Bibliography"/>
      </w:pPr>
      <w:r>
        <w:t xml:space="preserve">2</w:t>
      </w:r>
      <w:r>
        <w:t xml:space="preserve"> </w:t>
      </w:r>
      <w:r>
        <w:t xml:space="preserve">	</w:t>
      </w:r>
      <w:r>
        <w:t xml:space="preserve">Meggiolaro A, Sane Schepisi M, Nikolaidis GF, Mipatrini D, Siddu A, Rezza G. Effectiveness of vaccination against SARS-CoV-2 infection in the pre-delta era: A systematic review and meta-analysis.</w:t>
      </w:r>
      <w:r>
        <w:t xml:space="preserve"> </w:t>
      </w:r>
      <w:r>
        <w:rPr>
          <w:iCs/>
          <w:i/>
        </w:rPr>
        <w:t xml:space="preserve">Vaccines</w:t>
      </w:r>
      <w:r>
        <w:t xml:space="preserve"> </w:t>
      </w:r>
      <w:r>
        <w:t xml:space="preserve">2022;</w:t>
      </w:r>
      <w:r>
        <w:t xml:space="preserve"> </w:t>
      </w:r>
      <w:r>
        <w:rPr>
          <w:bCs/>
          <w:b/>
        </w:rPr>
        <w:t xml:space="preserve">10</w:t>
      </w:r>
      <w:r>
        <w:t xml:space="preserve">: 157.</w:t>
      </w:r>
    </w:p>
    <w:bookmarkEnd w:id="72"/>
    <w:bookmarkStart w:id="73" w:name="ref-harder2021effectiveness"/>
    <w:p>
      <w:pPr>
        <w:pStyle w:val="Bibliography"/>
      </w:pPr>
      <w:r>
        <w:t xml:space="preserve">3</w:t>
      </w:r>
      <w:r>
        <w:t xml:space="preserve"> </w:t>
      </w:r>
      <w:r>
        <w:t xml:space="preserve">	</w:t>
      </w:r>
      <w:r>
        <w:t xml:space="preserve">Harder T, Külper-Schiek W, Reda S,</w:t>
      </w:r>
      <w:r>
        <w:t xml:space="preserve"> </w:t>
      </w:r>
      <w:r>
        <w:rPr>
          <w:iCs/>
          <w:i/>
        </w:rPr>
        <w:t xml:space="preserve">et al.</w:t>
      </w:r>
      <w:r>
        <w:t xml:space="preserve"> Effectiveness of COVID-19 vaccines against SARS-CoV-2 infection with the delta (b. 1.617. 2) variant: Second interim results of a living systematic review and meta-analysis, 1 january to 25 august 2021.</w:t>
      </w:r>
      <w:r>
        <w:t xml:space="preserve"> </w:t>
      </w:r>
      <w:r>
        <w:rPr>
          <w:iCs/>
          <w:i/>
        </w:rPr>
        <w:t xml:space="preserve">Eurosurveillance</w:t>
      </w:r>
      <w:r>
        <w:t xml:space="preserve"> </w:t>
      </w:r>
      <w:r>
        <w:t xml:space="preserve">2021;</w:t>
      </w:r>
      <w:r>
        <w:t xml:space="preserve"> </w:t>
      </w:r>
      <w:r>
        <w:rPr>
          <w:bCs/>
          <w:b/>
        </w:rPr>
        <w:t xml:space="preserve">26</w:t>
      </w:r>
      <w:r>
        <w:t xml:space="preserve">: 2100920.</w:t>
      </w:r>
    </w:p>
    <w:bookmarkEnd w:id="73"/>
    <w:bookmarkStart w:id="74" w:name="ref-feikin2022duration"/>
    <w:p>
      <w:pPr>
        <w:pStyle w:val="Bibliography"/>
      </w:pPr>
      <w:r>
        <w:t xml:space="preserve">4</w:t>
      </w:r>
      <w:r>
        <w:t xml:space="preserve"> </w:t>
      </w:r>
      <w:r>
        <w:t xml:space="preserve">	</w:t>
      </w:r>
      <w:r>
        <w:t xml:space="preserve">Feikin DR, Higdon MM, Abu-Raddad LJ,</w:t>
      </w:r>
      <w:r>
        <w:t xml:space="preserve"> </w:t>
      </w:r>
      <w:r>
        <w:rPr>
          <w:iCs/>
          <w:i/>
        </w:rPr>
        <w:t xml:space="preserve">et al.</w:t>
      </w:r>
      <w:r>
        <w:t xml:space="preserve"> Duration of effectiveness of vaccines against SARS-CoV-2 infection and COVID-19 disease: Results of a systematic review and meta-regression.</w:t>
      </w:r>
      <w:r>
        <w:t xml:space="preserve"> </w:t>
      </w:r>
      <w:r>
        <w:rPr>
          <w:iCs/>
          <w:i/>
        </w:rPr>
        <w:t xml:space="preserve">The Lancet</w:t>
      </w:r>
      <w:r>
        <w:t xml:space="preserve"> </w:t>
      </w:r>
      <w:r>
        <w:t xml:space="preserve">2022.</w:t>
      </w:r>
    </w:p>
    <w:bookmarkEnd w:id="74"/>
    <w:bookmarkStart w:id="75" w:name="ref-meggiolaro2022omicron"/>
    <w:p>
      <w:pPr>
        <w:pStyle w:val="Bibliography"/>
      </w:pPr>
      <w:r>
        <w:t xml:space="preserve">5</w:t>
      </w:r>
      <w:r>
        <w:t xml:space="preserve"> </w:t>
      </w:r>
      <w:r>
        <w:t xml:space="preserve">	</w:t>
      </w:r>
      <w:r>
        <w:t xml:space="preserve">Meggiolaro A, Sane Schepisi M, Farina S,</w:t>
      </w:r>
      <w:r>
        <w:t xml:space="preserve"> </w:t>
      </w:r>
      <w:r>
        <w:rPr>
          <w:iCs/>
          <w:i/>
        </w:rPr>
        <w:t xml:space="preserve">et al.</w:t>
      </w:r>
      <w:r>
        <w:t xml:space="preserve"> Effectiveness of vaccination against SARS-CoV-2 omicron variant infection, symptomatic disease, and hospitalization: A systematic review and meta-analysis.</w:t>
      </w:r>
      <w:r>
        <w:t xml:space="preserve"> </w:t>
      </w:r>
      <w:r>
        <w:rPr>
          <w:iCs/>
          <w:i/>
        </w:rPr>
        <w:t xml:space="preserve">Expert Review of Vaccines</w:t>
      </w:r>
      <w:r>
        <w:t xml:space="preserve"> </w:t>
      </w:r>
      <w:r>
        <w:t xml:space="preserve">2022;</w:t>
      </w:r>
      <w:r>
        <w:t xml:space="preserve"> </w:t>
      </w:r>
      <w:r>
        <w:rPr>
          <w:bCs/>
          <w:b/>
        </w:rPr>
        <w:t xml:space="preserve">21</w:t>
      </w:r>
      <w:r>
        <w:t xml:space="preserve">: 1831–41.</w:t>
      </w:r>
    </w:p>
    <w:bookmarkEnd w:id="75"/>
    <w:bookmarkStart w:id="76" w:name="ref-zeng2022effectiveness"/>
    <w:p>
      <w:pPr>
        <w:pStyle w:val="Bibliography"/>
      </w:pPr>
      <w:r>
        <w:t xml:space="preserve">6</w:t>
      </w:r>
      <w:r>
        <w:t xml:space="preserve"> </w:t>
      </w:r>
      <w:r>
        <w:t xml:space="preserve">	</w:t>
      </w:r>
      <w:r>
        <w:t xml:space="preserve">Zeng B, Gao L, Zhou Q, Yu K, Sun F. Effectiveness of COVID-19 vaccines against SARS-CoV-2 variants of concern: A systematic review and meta-analysis.</w:t>
      </w:r>
      <w:r>
        <w:t xml:space="preserve"> </w:t>
      </w:r>
      <w:r>
        <w:rPr>
          <w:iCs/>
          <w:i/>
        </w:rPr>
        <w:t xml:space="preserve">BMC medicine</w:t>
      </w:r>
      <w:r>
        <w:t xml:space="preserve"> </w:t>
      </w:r>
      <w:r>
        <w:t xml:space="preserve">2022;</w:t>
      </w:r>
      <w:r>
        <w:t xml:space="preserve"> </w:t>
      </w:r>
      <w:r>
        <w:rPr>
          <w:bCs/>
          <w:b/>
        </w:rPr>
        <w:t xml:space="preserve">20</w:t>
      </w:r>
      <w:r>
        <w:t xml:space="preserve">: 1–15.</w:t>
      </w:r>
    </w:p>
    <w:bookmarkEnd w:id="76"/>
    <w:bookmarkStart w:id="77" w:name="ref-sabu2022effectiveness"/>
    <w:p>
      <w:pPr>
        <w:pStyle w:val="Bibliography"/>
      </w:pPr>
      <w:r>
        <w:t xml:space="preserve">7</w:t>
      </w:r>
      <w:r>
        <w:t xml:space="preserve"> </w:t>
      </w:r>
      <w:r>
        <w:t xml:space="preserve">	</w:t>
      </w:r>
      <w:r>
        <w:t xml:space="preserve">Sabu JM, Zahid I, Jacob N, Alele FO, Malau-Aduli BS. Effectiveness of the BNT162b2 (pfizer-BioNTech) vaccine in children and adolescents: A systematic review and meta-analysis.</w:t>
      </w:r>
      <w:r>
        <w:t xml:space="preserve"> </w:t>
      </w:r>
      <w:r>
        <w:rPr>
          <w:iCs/>
          <w:i/>
        </w:rPr>
        <w:t xml:space="preserve">Vaccines</w:t>
      </w:r>
      <w:r>
        <w:t xml:space="preserve"> </w:t>
      </w:r>
      <w:r>
        <w:t xml:space="preserve">2022;</w:t>
      </w:r>
      <w:r>
        <w:t xml:space="preserve"> </w:t>
      </w:r>
      <w:r>
        <w:rPr>
          <w:bCs/>
          <w:b/>
        </w:rPr>
        <w:t xml:space="preserve">10</w:t>
      </w:r>
      <w:r>
        <w:t xml:space="preserve">: 1880.</w:t>
      </w:r>
    </w:p>
    <w:bookmarkEnd w:id="77"/>
    <w:bookmarkStart w:id="78" w:name="ref-higdon2022systematic"/>
    <w:p>
      <w:pPr>
        <w:pStyle w:val="Bibliography"/>
      </w:pPr>
      <w:r>
        <w:t xml:space="preserve">8</w:t>
      </w:r>
      <w:r>
        <w:t xml:space="preserve"> </w:t>
      </w:r>
      <w:r>
        <w:t xml:space="preserve">	</w:t>
      </w:r>
      <w:r>
        <w:t xml:space="preserve">Higdon MM, Wahl B, Jones CB,</w:t>
      </w:r>
      <w:r>
        <w:t xml:space="preserve"> </w:t>
      </w:r>
      <w:r>
        <w:rPr>
          <w:iCs/>
          <w:i/>
        </w:rPr>
        <w:t xml:space="preserve">et al.</w:t>
      </w:r>
      <w:r>
        <w:t xml:space="preserve"> A systematic review of coronavirus disease 2019 vaccine efficacy and effectiveness against severe acute respiratory syndrome coronavirus 2 infection and disease. In: Open forum infectious diseases. Oxford University Press US, 2022: ofac138.</w:t>
      </w:r>
    </w:p>
    <w:bookmarkEnd w:id="78"/>
    <w:bookmarkStart w:id="79" w:name="ref-mohammed2023systematic"/>
    <w:p>
      <w:pPr>
        <w:pStyle w:val="Bibliography"/>
      </w:pPr>
      <w:r>
        <w:t xml:space="preserve">9</w:t>
      </w:r>
      <w:r>
        <w:t xml:space="preserve"> </w:t>
      </w:r>
      <w:r>
        <w:t xml:space="preserve">	</w:t>
      </w:r>
      <w:r>
        <w:t xml:space="preserve">Mohammed H, Pham-Tran DD, Yeoh ZYM,</w:t>
      </w:r>
      <w:r>
        <w:t xml:space="preserve"> </w:t>
      </w:r>
      <w:r>
        <w:rPr>
          <w:iCs/>
          <w:i/>
        </w:rPr>
        <w:t xml:space="preserve">et al.</w:t>
      </w:r>
      <w:r>
        <w:t xml:space="preserve"> A systematic review and meta-analysis on the real-world effectiveness of COVID-19 vaccines against infection, symptomatic and severe COVID-19 disease caused by the omicron variant (b. 1.1. 529).</w:t>
      </w:r>
      <w:r>
        <w:t xml:space="preserve"> </w:t>
      </w:r>
      <w:r>
        <w:rPr>
          <w:iCs/>
          <w:i/>
        </w:rPr>
        <w:t xml:space="preserve">Vaccines</w:t>
      </w:r>
      <w:r>
        <w:t xml:space="preserve"> </w:t>
      </w:r>
      <w:r>
        <w:t xml:space="preserve">2023;</w:t>
      </w:r>
      <w:r>
        <w:t xml:space="preserve"> </w:t>
      </w:r>
      <w:r>
        <w:rPr>
          <w:bCs/>
          <w:b/>
        </w:rPr>
        <w:t xml:space="preserve">11</w:t>
      </w:r>
      <w:r>
        <w:t xml:space="preserve">: 224.</w:t>
      </w:r>
    </w:p>
    <w:bookmarkEnd w:id="79"/>
    <w:bookmarkStart w:id="80" w:name="ref-wu2023long"/>
    <w:p>
      <w:pPr>
        <w:pStyle w:val="Bibliography"/>
      </w:pPr>
      <w:r>
        <w:t xml:space="preserve">10</w:t>
      </w:r>
      <w:r>
        <w:t xml:space="preserve"> </w:t>
      </w:r>
      <w:r>
        <w:t xml:space="preserve">	</w:t>
      </w:r>
      <w:r>
        <w:t xml:space="preserve">Wu N, Joyal-Desmarais K, Ribeiro PA,</w:t>
      </w:r>
      <w:r>
        <w:t xml:space="preserve"> </w:t>
      </w:r>
      <w:r>
        <w:rPr>
          <w:iCs/>
          <w:i/>
        </w:rPr>
        <w:t xml:space="preserve">et al.</w:t>
      </w:r>
      <w:r>
        <w:t xml:space="preserve"> Long-term effectiveness of COVID-19 vaccines against infections, hospitalisations, and mortality in adults: Findings from a rapid living systematic evidence synthesis and meta-analysis up to december, 2022.</w:t>
      </w:r>
      <w:r>
        <w:t xml:space="preserve"> </w:t>
      </w:r>
      <w:r>
        <w:rPr>
          <w:iCs/>
          <w:i/>
        </w:rPr>
        <w:t xml:space="preserve">The Lancet Respiratory Medicine</w:t>
      </w:r>
      <w:r>
        <w:t xml:space="preserve"> </w:t>
      </w:r>
      <w:r>
        <w:t xml:space="preserve">2023;</w:t>
      </w:r>
      <w:r>
        <w:t xml:space="preserve"> </w:t>
      </w:r>
      <w:r>
        <w:rPr>
          <w:bCs/>
          <w:b/>
        </w:rPr>
        <w:t xml:space="preserve">11</w:t>
      </w:r>
      <w:r>
        <w:t xml:space="preserve">: 439–52.</w:t>
      </w:r>
    </w:p>
    <w:bookmarkEnd w:id="80"/>
    <w:bookmarkStart w:id="81" w:name="ref-basta2008estimating"/>
    <w:p>
      <w:pPr>
        <w:pStyle w:val="Bibliography"/>
      </w:pPr>
      <w:r>
        <w:t xml:space="preserve">11</w:t>
      </w:r>
      <w:r>
        <w:t xml:space="preserve"> </w:t>
      </w:r>
      <w:r>
        <w:t xml:space="preserve">	</w:t>
      </w:r>
      <w:r>
        <w:t xml:space="preserve">Basta NE, Halloran ME, Matrajt L, Longini Jr IM. Estimating influenza vaccine efficacy from challenge and community-based study data.</w:t>
      </w:r>
      <w:r>
        <w:t xml:space="preserve"> </w:t>
      </w:r>
      <w:r>
        <w:rPr>
          <w:iCs/>
          <w:i/>
        </w:rPr>
        <w:t xml:space="preserve">American Journal of Epidemiology</w:t>
      </w:r>
      <w:r>
        <w:t xml:space="preserve"> </w:t>
      </w:r>
      <w:r>
        <w:t xml:space="preserve">2008;</w:t>
      </w:r>
      <w:r>
        <w:t xml:space="preserve"> </w:t>
      </w:r>
      <w:r>
        <w:rPr>
          <w:bCs/>
          <w:b/>
        </w:rPr>
        <w:t xml:space="preserve">168</w:t>
      </w:r>
      <w:r>
        <w:t xml:space="preserve">: 1343–52.</w:t>
      </w:r>
    </w:p>
    <w:bookmarkEnd w:id="81"/>
    <w:bookmarkStart w:id="82" w:name="ref-antia2021transition"/>
    <w:p>
      <w:pPr>
        <w:pStyle w:val="Bibliography"/>
      </w:pPr>
      <w:r>
        <w:t xml:space="preserve">12</w:t>
      </w:r>
      <w:r>
        <w:t xml:space="preserve"> </w:t>
      </w:r>
      <w:r>
        <w:t xml:space="preserve">	</w:t>
      </w:r>
      <w:r>
        <w:t xml:space="preserve">Antia R, Halloran ME.</w:t>
      </w:r>
      <w:r>
        <w:t xml:space="preserve"> </w:t>
      </w:r>
      <w:r>
        <w:t xml:space="preserve">Transition to endemicity: Understanding COVID-19</w:t>
      </w:r>
      <w:r>
        <w:t xml:space="preserve">.</w:t>
      </w:r>
      <w:r>
        <w:t xml:space="preserve"> </w:t>
      </w:r>
      <w:r>
        <w:rPr>
          <w:iCs/>
          <w:i/>
        </w:rPr>
        <w:t xml:space="preserve">Immunity</w:t>
      </w:r>
      <w:r>
        <w:t xml:space="preserve"> </w:t>
      </w:r>
      <w:r>
        <w:t xml:space="preserve">2021;</w:t>
      </w:r>
      <w:r>
        <w:t xml:space="preserve"> </w:t>
      </w:r>
      <w:r>
        <w:rPr>
          <w:bCs/>
          <w:b/>
        </w:rPr>
        <w:t xml:space="preserve">54</w:t>
      </w:r>
      <w:r>
        <w:t xml:space="preserve">: 2172–6.</w:t>
      </w:r>
    </w:p>
    <w:bookmarkEnd w:id="82"/>
    <w:bookmarkStart w:id="83" w:name="ref-swan2021covid"/>
    <w:p>
      <w:pPr>
        <w:pStyle w:val="Bibliography"/>
      </w:pPr>
      <w:r>
        <w:t xml:space="preserve">13</w:t>
      </w:r>
      <w:r>
        <w:t xml:space="preserve"> </w:t>
      </w:r>
      <w:r>
        <w:t xml:space="preserve">	</w:t>
      </w:r>
      <w:r>
        <w:t xml:space="preserve">Swan DA, Bracis C, Janes H,</w:t>
      </w:r>
      <w:r>
        <w:t xml:space="preserve"> </w:t>
      </w:r>
      <w:r>
        <w:rPr>
          <w:iCs/>
          <w:i/>
        </w:rPr>
        <w:t xml:space="preserve">et al.</w:t>
      </w:r>
      <w:r>
        <w:t xml:space="preserve"> COVID-19 vaccines that reduce symptoms but do not block infection need higher coverage and faster rollout to achieve population impact.</w:t>
      </w:r>
      <w:r>
        <w:t xml:space="preserve"> </w:t>
      </w:r>
      <w:r>
        <w:rPr>
          <w:iCs/>
          <w:i/>
        </w:rPr>
        <w:t xml:space="preserve">Scientific reports</w:t>
      </w:r>
      <w:r>
        <w:t xml:space="preserve"> </w:t>
      </w:r>
      <w:r>
        <w:t xml:space="preserve">2021;</w:t>
      </w:r>
      <w:r>
        <w:t xml:space="preserve"> </w:t>
      </w:r>
      <w:r>
        <w:rPr>
          <w:bCs/>
          <w:b/>
        </w:rPr>
        <w:t xml:space="preserve">11</w:t>
      </w:r>
      <w:r>
        <w:t xml:space="preserve">: 15531.</w:t>
      </w:r>
    </w:p>
    <w:bookmarkEnd w:id="83"/>
    <w:bookmarkStart w:id="84" w:name="ref-bobrovitz2023protective"/>
    <w:p>
      <w:pPr>
        <w:pStyle w:val="Bibliography"/>
      </w:pPr>
      <w:r>
        <w:t xml:space="preserve">14</w:t>
      </w:r>
      <w:r>
        <w:t xml:space="preserve"> </w:t>
      </w:r>
      <w:r>
        <w:t xml:space="preserve">	</w:t>
      </w:r>
      <w:r>
        <w:t xml:space="preserve">Bobrovitz N, Ware H, Ma X,</w:t>
      </w:r>
      <w:r>
        <w:t xml:space="preserve"> </w:t>
      </w:r>
      <w:r>
        <w:rPr>
          <w:iCs/>
          <w:i/>
        </w:rPr>
        <w:t xml:space="preserve">et al.</w:t>
      </w:r>
      <w:r>
        <w:t xml:space="preserve"> Protective effectiveness of previous SARS-CoV-2 infection and hybrid immunity against the omicron variant and severe disease: A systematic review and meta-regression.</w:t>
      </w:r>
      <w:r>
        <w:t xml:space="preserve"> </w:t>
      </w:r>
      <w:r>
        <w:rPr>
          <w:iCs/>
          <w:i/>
        </w:rPr>
        <w:t xml:space="preserve">The Lancet Infectious Diseases</w:t>
      </w:r>
      <w:r>
        <w:t xml:space="preserve"> </w:t>
      </w:r>
      <w:r>
        <w:t xml:space="preserve">2023.</w:t>
      </w:r>
    </w:p>
    <w:bookmarkEnd w:id="84"/>
    <w:bookmarkStart w:id="85" w:name="ref-stein2023past"/>
    <w:p>
      <w:pPr>
        <w:pStyle w:val="Bibliography"/>
      </w:pPr>
      <w:r>
        <w:t xml:space="preserve">15</w:t>
      </w:r>
      <w:r>
        <w:t xml:space="preserve"> </w:t>
      </w:r>
      <w:r>
        <w:t xml:space="preserve">	</w:t>
      </w:r>
      <w:r>
        <w:t xml:space="preserve">Stein C, Nassereldine H, Sorensen RJ,</w:t>
      </w:r>
      <w:r>
        <w:t xml:space="preserve"> </w:t>
      </w:r>
      <w:r>
        <w:rPr>
          <w:iCs/>
          <w:i/>
        </w:rPr>
        <w:t xml:space="preserve">et al.</w:t>
      </w:r>
      <w:r>
        <w:t xml:space="preserve"> Past SARS-CoV-2 infection protection against re-infection: A systematic review and meta-analysis.</w:t>
      </w:r>
      <w:r>
        <w:t xml:space="preserve"> </w:t>
      </w:r>
      <w:r>
        <w:rPr>
          <w:iCs/>
          <w:i/>
        </w:rPr>
        <w:t xml:space="preserve">The Lancet</w:t>
      </w:r>
      <w:r>
        <w:t xml:space="preserve"> </w:t>
      </w:r>
      <w:r>
        <w:t xml:space="preserve">2023;</w:t>
      </w:r>
      <w:r>
        <w:t xml:space="preserve"> </w:t>
      </w:r>
      <w:r>
        <w:rPr>
          <w:bCs/>
          <w:b/>
        </w:rPr>
        <w:t xml:space="preserve">401</w:t>
      </w:r>
      <w:r>
        <w:t xml:space="preserve">: 833–42.</w:t>
      </w:r>
    </w:p>
    <w:bookmarkEnd w:id="85"/>
    <w:bookmarkStart w:id="86" w:name="ref-ssentongo2022sars"/>
    <w:p>
      <w:pPr>
        <w:pStyle w:val="Bibliography"/>
      </w:pPr>
      <w:r>
        <w:t xml:space="preserve">16</w:t>
      </w:r>
      <w:r>
        <w:t xml:space="preserve"> </w:t>
      </w:r>
      <w:r>
        <w:t xml:space="preserve">	</w:t>
      </w:r>
      <w:r>
        <w:t xml:space="preserve">Ssentongo P, Ssentongo AE, Voleti N,</w:t>
      </w:r>
      <w:r>
        <w:t xml:space="preserve"> </w:t>
      </w:r>
      <w:r>
        <w:rPr>
          <w:iCs/>
          <w:i/>
        </w:rPr>
        <w:t xml:space="preserve">et al.</w:t>
      </w:r>
      <w:r>
        <w:t xml:space="preserve"> SARS-CoV-2 vaccine effectiveness against infection, symptomatic and severe COVID-19: A systematic review and meta-analysis.</w:t>
      </w:r>
      <w:r>
        <w:t xml:space="preserve"> </w:t>
      </w:r>
      <w:r>
        <w:rPr>
          <w:iCs/>
          <w:i/>
        </w:rPr>
        <w:t xml:space="preserve">BMC infectious diseases</w:t>
      </w:r>
      <w:r>
        <w:t xml:space="preserve"> </w:t>
      </w:r>
      <w:r>
        <w:t xml:space="preserve">2022;</w:t>
      </w:r>
      <w:r>
        <w:t xml:space="preserve"> </w:t>
      </w:r>
      <w:r>
        <w:rPr>
          <w:bCs/>
          <w:b/>
        </w:rPr>
        <w:t xml:space="preserve">22</w:t>
      </w:r>
      <w:r>
        <w:t xml:space="preserve">: 439.</w:t>
      </w:r>
    </w:p>
    <w:bookmarkEnd w:id="86"/>
    <w:bookmarkStart w:id="87" w:name="ref-egger1997bias"/>
    <w:p>
      <w:pPr>
        <w:pStyle w:val="Bibliography"/>
      </w:pPr>
      <w:r>
        <w:t xml:space="preserve">17</w:t>
      </w:r>
      <w:r>
        <w:t xml:space="preserve"> </w:t>
      </w:r>
      <w:r>
        <w:t xml:space="preserve">	</w:t>
      </w:r>
      <w:r>
        <w:t xml:space="preserve">Egger M, Smith GD, Schneider M, Minder C. Bias in meta-analysis detected by a simple, graphical test.</w:t>
      </w:r>
      <w:r>
        <w:t xml:space="preserve"> </w:t>
      </w:r>
      <w:r>
        <w:rPr>
          <w:iCs/>
          <w:i/>
        </w:rPr>
        <w:t xml:space="preserve">Bmj</w:t>
      </w:r>
      <w:r>
        <w:t xml:space="preserve"> </w:t>
      </w:r>
      <w:r>
        <w:t xml:space="preserve">1997;</w:t>
      </w:r>
      <w:r>
        <w:t xml:space="preserve"> </w:t>
      </w:r>
      <w:r>
        <w:rPr>
          <w:bCs/>
          <w:b/>
        </w:rPr>
        <w:t xml:space="preserve">315</w:t>
      </w:r>
      <w:r>
        <w:t xml:space="preserve">: 629–34.</w:t>
      </w:r>
    </w:p>
    <w:bookmarkEnd w:id="87"/>
    <w:bookmarkStart w:id="88" w:name="ref-van2015meta"/>
    <w:p>
      <w:pPr>
        <w:pStyle w:val="Bibliography"/>
      </w:pPr>
      <w:r>
        <w:t xml:space="preserve">18</w:t>
      </w:r>
      <w:r>
        <w:t xml:space="preserve"> </w:t>
      </w:r>
      <w:r>
        <w:t xml:space="preserve">	</w:t>
      </w:r>
      <w:r>
        <w:t xml:space="preserve">Van den Noortgate W, López-López JA, Marı́n-Martı́nez F, Sánchez-Meca J. Meta-analysis of multiple outcomes: A multilevel approach.</w:t>
      </w:r>
      <w:r>
        <w:t xml:space="preserve"> </w:t>
      </w:r>
      <w:r>
        <w:rPr>
          <w:iCs/>
          <w:i/>
        </w:rPr>
        <w:t xml:space="preserve">Behavior research methods</w:t>
      </w:r>
      <w:r>
        <w:t xml:space="preserve"> </w:t>
      </w:r>
      <w:r>
        <w:t xml:space="preserve">2015;</w:t>
      </w:r>
      <w:r>
        <w:t xml:space="preserve"> </w:t>
      </w:r>
      <w:r>
        <w:rPr>
          <w:bCs/>
          <w:b/>
        </w:rPr>
        <w:t xml:space="preserve">47</w:t>
      </w:r>
      <w:r>
        <w:t xml:space="preserve">: 1274–94.</w:t>
      </w:r>
    </w:p>
    <w:bookmarkEnd w:id="88"/>
    <w:bookmarkStart w:id="89" w:name="ref-pooley2023durability"/>
    <w:p>
      <w:pPr>
        <w:pStyle w:val="Bibliography"/>
      </w:pPr>
      <w:r>
        <w:t xml:space="preserve">19</w:t>
      </w:r>
      <w:r>
        <w:t xml:space="preserve"> </w:t>
      </w:r>
      <w:r>
        <w:t xml:space="preserve">	</w:t>
      </w:r>
      <w:r>
        <w:t xml:space="preserve">Pooley N, Abdool Karim SS, Combadière B,</w:t>
      </w:r>
      <w:r>
        <w:t xml:space="preserve"> </w:t>
      </w:r>
      <w:r>
        <w:rPr>
          <w:iCs/>
          <w:i/>
        </w:rPr>
        <w:t xml:space="preserve">et al.</w:t>
      </w:r>
      <w:r>
        <w:t xml:space="preserve"> Durability of vaccine-induced and natural immunity against COVID-19: A narrative review.</w:t>
      </w:r>
      <w:r>
        <w:t xml:space="preserve"> </w:t>
      </w:r>
      <w:r>
        <w:rPr>
          <w:iCs/>
          <w:i/>
        </w:rPr>
        <w:t xml:space="preserve">Infectious Diseases and Therapy</w:t>
      </w:r>
      <w:r>
        <w:t xml:space="preserve"> </w:t>
      </w:r>
      <w:r>
        <w:t xml:space="preserve">2023;</w:t>
      </w:r>
      <w:r>
        <w:t xml:space="preserve"> </w:t>
      </w:r>
      <w:r>
        <w:rPr>
          <w:bCs/>
          <w:b/>
        </w:rPr>
        <w:t xml:space="preserve">12</w:t>
      </w:r>
      <w:r>
        <w:t xml:space="preserve">: 367–87.</w:t>
      </w:r>
    </w:p>
    <w:bookmarkEnd w:id="89"/>
    <w:bookmarkStart w:id="90" w:name="ref-stephenson2023efficacy"/>
    <w:p>
      <w:pPr>
        <w:pStyle w:val="Bibliography"/>
      </w:pPr>
      <w:r>
        <w:t xml:space="preserve">20</w:t>
      </w:r>
      <w:r>
        <w:t xml:space="preserve"> </w:t>
      </w:r>
      <w:r>
        <w:t xml:space="preserve">	</w:t>
      </w:r>
      <w:r>
        <w:t xml:space="preserve">Stephenson KE, Marcelin JR, Pettifor AE,</w:t>
      </w:r>
      <w:r>
        <w:t xml:space="preserve"> </w:t>
      </w:r>
      <w:r>
        <w:rPr>
          <w:iCs/>
          <w:i/>
        </w:rPr>
        <w:t xml:space="preserve">et al.</w:t>
      </w:r>
      <w:r>
        <w:t xml:space="preserve"> </w:t>
      </w:r>
      <w:r>
        <w:t xml:space="preserve">Efficacy of Messenger RNA–1273 Against Severe Acute Respiratory Syndrome Coronavirus 2 Acquisition in Young Adults From March to December 2021</w:t>
      </w:r>
      <w:r>
        <w:t xml:space="preserve">. In: Open forum infectious diseases. Oxford University Press US, 2023: ofad511.</w:t>
      </w:r>
    </w:p>
    <w:bookmarkEnd w:id="90"/>
    <w:bookmarkStart w:id="91" w:name="ref-matrajt2021vaccine"/>
    <w:p>
      <w:pPr>
        <w:pStyle w:val="Bibliography"/>
      </w:pPr>
      <w:r>
        <w:t xml:space="preserve">21</w:t>
      </w:r>
      <w:r>
        <w:t xml:space="preserve"> </w:t>
      </w:r>
      <w:r>
        <w:t xml:space="preserve">	</w:t>
      </w:r>
      <w:r>
        <w:t xml:space="preserve">Matrajt L, Eaton J, Leung T, Brown ER. Vaccine optimization for COVID-19: Who to vaccinate first?</w:t>
      </w:r>
      <w:r>
        <w:t xml:space="preserve"> </w:t>
      </w:r>
      <w:r>
        <w:rPr>
          <w:iCs/>
          <w:i/>
        </w:rPr>
        <w:t xml:space="preserve">Science Advances</w:t>
      </w:r>
      <w:r>
        <w:t xml:space="preserve"> </w:t>
      </w:r>
      <w:r>
        <w:t xml:space="preserve">2021;</w:t>
      </w:r>
      <w:r>
        <w:t xml:space="preserve"> </w:t>
      </w:r>
      <w:r>
        <w:rPr>
          <w:bCs/>
          <w:b/>
        </w:rPr>
        <w:t xml:space="preserve">7</w:t>
      </w:r>
      <w:r>
        <w:t xml:space="preserve">: eabf1374.</w:t>
      </w:r>
    </w:p>
    <w:bookmarkEnd w:id="91"/>
    <w:bookmarkEnd w:id="92"/>
    <w:bookmarkEnd w:id="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31" Target="media/rId31.sv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Durability of COVID-19 vaccine and infection induced immunity: a systematic review and meta-regression analysis</dc:title>
  <dc:creator>Mia Moore, Larissa Anderson, Joshua T. Schiffer, Laura Matrajt, Dobromir Dimitrov</dc:creator>
  <cp:keywords/>
  <dcterms:created xsi:type="dcterms:W3CDTF">2024-06-01T02:29:31Z</dcterms:created>
  <dcterms:modified xsi:type="dcterms:W3CDTF">2024-06-01T02:29:31Z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the-lancet</vt:lpwstr>
  </property>
  <property fmtid="{D5CDD505-2E9C-101B-9397-08002B2CF9AE}" pid="4" name="date">
    <vt:lpwstr>2024-05-31</vt:lpwstr>
  </property>
  <property fmtid="{D5CDD505-2E9C-101B-9397-08002B2CF9AE}" pid="5" name="output">
    <vt:lpwstr/>
  </property>
</Properties>
</file>